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B171" w14:textId="77777777" w:rsidR="00A23138" w:rsidRDefault="00BC6BD9" w:rsidP="00EA73FB">
      <w:pPr>
        <w:pStyle w:val="Nadpis6"/>
        <w:spacing w:after="60"/>
        <w:rPr>
          <w:noProof/>
        </w:rPr>
      </w:pPr>
      <w:bookmarkStart w:id="0" w:name="_Toc1893411"/>
      <w:bookmarkStart w:id="1" w:name="_Toc1893528"/>
      <w:bookmarkStart w:id="2" w:name="_Toc1851071"/>
      <w:bookmarkStart w:id="3" w:name="_Toc1851461"/>
      <w:bookmarkStart w:id="4" w:name="_Toc1851920"/>
      <w:r w:rsidRPr="00EA73FB">
        <w:rPr>
          <w:b/>
        </w:rPr>
        <w:t>Obsah</w:t>
      </w:r>
      <w:bookmarkEnd w:id="0"/>
      <w:bookmarkEnd w:id="1"/>
      <w:r w:rsidR="00D72B0C" w:rsidRPr="00EA73FB">
        <w:rPr>
          <w:b/>
        </w:rPr>
        <w:fldChar w:fldCharType="begin"/>
      </w:r>
      <w:r w:rsidR="00D72B0C" w:rsidRPr="00EA73FB">
        <w:rPr>
          <w:b/>
        </w:rPr>
        <w:instrText xml:space="preserve"> TOC \o "1-1" \h \z \u </w:instrText>
      </w:r>
      <w:r w:rsidR="00D72B0C" w:rsidRPr="00EA73FB">
        <w:rPr>
          <w:b/>
        </w:rPr>
        <w:fldChar w:fldCharType="separate"/>
      </w:r>
    </w:p>
    <w:p w14:paraId="2F2F25C7" w14:textId="1BF98998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87" w:history="1">
        <w:r w:rsidRPr="001E3F22">
          <w:rPr>
            <w:rStyle w:val="Hypertextovprepojenie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Identifikačné údaje stavby a investora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EC90215" w14:textId="241E56FE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88" w:history="1">
        <w:r w:rsidRPr="001E3F22">
          <w:rPr>
            <w:rStyle w:val="Hypertextovprepojeni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Všeobecné údaje a popis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061C1B6" w14:textId="73209A4C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89" w:history="1">
        <w:r w:rsidRPr="001E3F22">
          <w:rPr>
            <w:rStyle w:val="Hypertextovprepojeni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Prehľad východiskových podkladov a noriem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151340B" w14:textId="69EE8D6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0" w:history="1">
        <w:r w:rsidRPr="001E3F22">
          <w:rPr>
            <w:rStyle w:val="Hypertextovprepojeni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Zásobovanie vodou domu smútku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3464411" w14:textId="0969C8C0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1" w:history="1">
        <w:r w:rsidRPr="001E3F22">
          <w:rPr>
            <w:rStyle w:val="Hypertextovprepojeni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Vnútorný rozvod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9AE1140" w14:textId="5628BBDD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2" w:history="1">
        <w:r w:rsidRPr="001E3F22">
          <w:rPr>
            <w:rStyle w:val="Hypertextovprepojeni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Príprava teplej vody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5D897C3" w14:textId="094597D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3" w:history="1">
        <w:r w:rsidRPr="001E3F22">
          <w:rPr>
            <w:rStyle w:val="Hypertextovprepojenie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Skúšanie vnútorného vodovodu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142C4FE" w14:textId="5909E6A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4" w:history="1">
        <w:r w:rsidRPr="001E3F22">
          <w:rPr>
            <w:rStyle w:val="Hypertextovprepojenie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Tlaková skúška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8C241B" w14:textId="4E75B143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5" w:history="1">
        <w:r w:rsidRPr="001E3F22">
          <w:rPr>
            <w:rStyle w:val="Hypertextovprepojenie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Splašková kanalizácia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5205DC" w14:textId="66207A1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6" w:history="1">
        <w:r w:rsidRPr="001E3F22">
          <w:rPr>
            <w:rStyle w:val="Hypertextovprepojenie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Vnútorná splašková kanalizácia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B7B1E6" w14:textId="6F90B018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7" w:history="1">
        <w:r w:rsidRPr="001E3F22">
          <w:rPr>
            <w:rStyle w:val="Hypertextovprepojenie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Odpadové potrubia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3308A77" w14:textId="217415EE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8" w:history="1">
        <w:r w:rsidRPr="001E3F22">
          <w:rPr>
            <w:rStyle w:val="Hypertextovprepojenie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Zvodné potrubia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83CBCC4" w14:textId="51467488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099" w:history="1">
        <w:r w:rsidRPr="001E3F22">
          <w:rPr>
            <w:rStyle w:val="Hypertextovprepojenie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Pripájacie potrubia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D227443" w14:textId="47FEE19B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0" w:history="1">
        <w:r w:rsidRPr="001E3F22">
          <w:rPr>
            <w:rStyle w:val="Hypertextovprepojenie"/>
            <w:noProof/>
          </w:rPr>
          <w:t>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Dažďová kanalizácia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DD2E5A2" w14:textId="65196833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1" w:history="1">
        <w:r w:rsidRPr="001E3F22">
          <w:rPr>
            <w:rStyle w:val="Hypertextovprepojenie"/>
            <w:noProof/>
          </w:rPr>
          <w:t>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Tlaková skúška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EC07A01" w14:textId="37A20E5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2" w:history="1">
        <w:r w:rsidRPr="001E3F22">
          <w:rPr>
            <w:rStyle w:val="Hypertextovprepojenie"/>
            <w:noProof/>
          </w:rPr>
          <w:t>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Zemné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9153F78" w14:textId="71A73732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3" w:history="1">
        <w:r w:rsidRPr="001E3F22">
          <w:rPr>
            <w:rStyle w:val="Hypertextovprepojenie"/>
            <w:noProof/>
          </w:rPr>
          <w:t>17.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Uloženie potrubia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30C6E5" w14:textId="312C4AAE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4" w:history="1">
        <w:r w:rsidRPr="001E3F22">
          <w:rPr>
            <w:rStyle w:val="Hypertextovprepojenie"/>
            <w:noProof/>
          </w:rPr>
          <w:t>18.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Bezpečnosť a ochrana zdravia pri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D4B130A" w14:textId="3F2B8C8C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5" w:history="1">
        <w:r w:rsidRPr="001E3F22">
          <w:rPr>
            <w:rStyle w:val="Hypertextovprepojenie"/>
            <w:noProof/>
          </w:rPr>
          <w:t>19.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Tlaková skúška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2623ED" w14:textId="3042AB85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6" w:history="1">
        <w:r w:rsidRPr="001E3F22">
          <w:rPr>
            <w:rStyle w:val="Hypertextovprepojenie"/>
            <w:noProof/>
          </w:rPr>
          <w:t>20.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Zemné práce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63D04E7" w14:textId="0196C57F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7" w:history="1">
        <w:r w:rsidRPr="001E3F22">
          <w:rPr>
            <w:rStyle w:val="Hypertextovprepojenie"/>
            <w:noProof/>
          </w:rPr>
          <w:t>21.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Uloženie potrubia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DF1E889" w14:textId="35E88D14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8" w:history="1">
        <w:r w:rsidRPr="001E3F22">
          <w:rPr>
            <w:rStyle w:val="Hypertextovprepojenie"/>
            <w:noProof/>
          </w:rPr>
          <w:t>22.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Bezpečnosť a ochrana zdravia pri práci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72A8B6" w14:textId="006F1ABF" w:rsidR="00A23138" w:rsidRDefault="00A23138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09590109" w:history="1">
        <w:r w:rsidRPr="001E3F22">
          <w:rPr>
            <w:rStyle w:val="Hypertextovprepojenie"/>
            <w:noProof/>
          </w:rPr>
          <w:t>23.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1E3F22">
          <w:rPr>
            <w:rStyle w:val="Hypertextovprepojenie"/>
            <w:noProof/>
          </w:rPr>
          <w:t>Záver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_Toc109590109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006A10" w14:textId="35B55026" w:rsidR="00D72B0C" w:rsidRDefault="00D72B0C" w:rsidP="00D72B0C">
      <w:r w:rsidRPr="00EA73FB">
        <w:rPr>
          <w:b/>
        </w:rPr>
        <w:fldChar w:fldCharType="end"/>
      </w:r>
    </w:p>
    <w:p w14:paraId="43D3610D" w14:textId="54A13E51" w:rsidR="00D72B0C" w:rsidRDefault="00D72B0C" w:rsidP="00D72B0C"/>
    <w:p w14:paraId="48E08A3C" w14:textId="3CE20EC9" w:rsidR="00D72B0C" w:rsidRDefault="00D72B0C" w:rsidP="00D72B0C"/>
    <w:p w14:paraId="475E1288" w14:textId="678EBFFB" w:rsidR="00D72B0C" w:rsidRDefault="00D72B0C" w:rsidP="00D72B0C"/>
    <w:p w14:paraId="6A67ED21" w14:textId="507F116C" w:rsidR="00D72B0C" w:rsidRDefault="00D72B0C" w:rsidP="00D72B0C"/>
    <w:p w14:paraId="35CC3EB1" w14:textId="5E5A294A" w:rsidR="00D72B0C" w:rsidRDefault="00D72B0C" w:rsidP="00D72B0C"/>
    <w:p w14:paraId="43EED8A5" w14:textId="14EB2820" w:rsidR="00D72B0C" w:rsidRDefault="00D72B0C" w:rsidP="00D72B0C"/>
    <w:p w14:paraId="1C6F0920" w14:textId="1ADBEE50" w:rsidR="00D72B0C" w:rsidRDefault="00D72B0C" w:rsidP="00D72B0C"/>
    <w:p w14:paraId="02522C16" w14:textId="2572043D" w:rsidR="009B7CD1" w:rsidRDefault="009B7CD1" w:rsidP="00D72B0C"/>
    <w:p w14:paraId="22194D24" w14:textId="3FB1124E" w:rsidR="009B7CD1" w:rsidRDefault="009B7CD1" w:rsidP="00D72B0C"/>
    <w:p w14:paraId="071804F8" w14:textId="3F834E46" w:rsidR="009B7CD1" w:rsidRDefault="009B7CD1" w:rsidP="00D72B0C"/>
    <w:p w14:paraId="2B5EA567" w14:textId="68FC2F51" w:rsidR="009B7CD1" w:rsidRDefault="009B7CD1" w:rsidP="00D72B0C"/>
    <w:p w14:paraId="2DB01A88" w14:textId="57F6A0A8" w:rsidR="009B7CD1" w:rsidRDefault="009B7CD1" w:rsidP="00D72B0C"/>
    <w:p w14:paraId="2B7E3149" w14:textId="233598B6" w:rsidR="009B7CD1" w:rsidRDefault="009B7CD1" w:rsidP="00D72B0C"/>
    <w:p w14:paraId="5A3033C4" w14:textId="063EC225" w:rsidR="009B7CD1" w:rsidRDefault="009B7CD1" w:rsidP="00D72B0C"/>
    <w:p w14:paraId="30AAB40C" w14:textId="1FCA0974" w:rsidR="009B7CD1" w:rsidRDefault="009B7CD1" w:rsidP="00D72B0C"/>
    <w:p w14:paraId="24D9597F" w14:textId="414B1303" w:rsidR="009B7CD1" w:rsidRDefault="009B7CD1" w:rsidP="00D72B0C"/>
    <w:p w14:paraId="78252491" w14:textId="43F8BDA5" w:rsidR="009B7CD1" w:rsidRDefault="009B7CD1" w:rsidP="00D72B0C"/>
    <w:p w14:paraId="38903D3B" w14:textId="1089D58E" w:rsidR="009B7CD1" w:rsidRDefault="009B7CD1" w:rsidP="00D72B0C"/>
    <w:p w14:paraId="12D26941" w14:textId="2D1C8CB9" w:rsidR="009B7CD1" w:rsidRDefault="009B7CD1" w:rsidP="00D72B0C"/>
    <w:p w14:paraId="3B4F7232" w14:textId="71DCAB99" w:rsidR="009B7CD1" w:rsidRDefault="009B7CD1" w:rsidP="00D72B0C"/>
    <w:p w14:paraId="39AFF8B4" w14:textId="2EE4EF6D" w:rsidR="009B7CD1" w:rsidRDefault="009B7CD1" w:rsidP="00D72B0C"/>
    <w:p w14:paraId="1FC200DE" w14:textId="70A7F713" w:rsidR="009B7CD1" w:rsidRDefault="009B7CD1" w:rsidP="00D72B0C"/>
    <w:p w14:paraId="76BE771B" w14:textId="03EC3389" w:rsidR="009B7CD1" w:rsidRDefault="009B7CD1" w:rsidP="00D72B0C"/>
    <w:p w14:paraId="1781B177" w14:textId="77777777" w:rsidR="009B7CD1" w:rsidRDefault="009B7CD1" w:rsidP="00D72B0C"/>
    <w:p w14:paraId="160B47E4" w14:textId="13E40577" w:rsidR="00D72B0C" w:rsidRDefault="00D72B0C" w:rsidP="00D72B0C"/>
    <w:p w14:paraId="7C5B88F3" w14:textId="31F71F13" w:rsidR="00A96772" w:rsidRPr="00A96772" w:rsidRDefault="00285183" w:rsidP="00626020">
      <w:pPr>
        <w:pStyle w:val="Nadpis1"/>
      </w:pPr>
      <w:bookmarkStart w:id="5" w:name="_Toc1893412"/>
      <w:bookmarkStart w:id="6" w:name="_Toc1893529"/>
      <w:bookmarkStart w:id="7" w:name="_Toc109590087"/>
      <w:bookmarkEnd w:id="2"/>
      <w:bookmarkEnd w:id="3"/>
      <w:bookmarkEnd w:id="4"/>
      <w:r>
        <w:lastRenderedPageBreak/>
        <w:t>Identifikačné údaje stavby a investora</w:t>
      </w:r>
      <w:bookmarkEnd w:id="5"/>
      <w:bookmarkEnd w:id="6"/>
      <w:bookmarkEnd w:id="7"/>
    </w:p>
    <w:p w14:paraId="13EC23FB" w14:textId="4CD652DA" w:rsidR="00626463" w:rsidRDefault="00C56DE3" w:rsidP="00626463">
      <w:pPr>
        <w:autoSpaceDE w:val="0"/>
        <w:autoSpaceDN w:val="0"/>
        <w:adjustRightInd w:val="0"/>
        <w:ind w:left="720" w:hanging="720"/>
        <w:rPr>
          <w:rFonts w:cs="Arial"/>
          <w:color w:val="000000"/>
          <w:sz w:val="24"/>
          <w:szCs w:val="24"/>
        </w:rPr>
      </w:pPr>
      <w:r w:rsidRPr="00D200B2">
        <w:t xml:space="preserve">Názov stavby: </w:t>
      </w:r>
      <w:r w:rsidRPr="00D200B2">
        <w:tab/>
      </w:r>
      <w:r w:rsidR="00626463">
        <w:rPr>
          <w:rFonts w:cs="Arial"/>
          <w:color w:val="000000"/>
          <w:sz w:val="24"/>
          <w:szCs w:val="24"/>
        </w:rPr>
        <w:t xml:space="preserve">    </w:t>
      </w:r>
      <w:r w:rsidR="00626463" w:rsidRPr="00626463">
        <w:rPr>
          <w:rFonts w:cs="Arial"/>
          <w:b/>
          <w:bCs/>
          <w:color w:val="000000"/>
        </w:rPr>
        <w:t>REKONŠTRUKCIA DOMU SMÚTKU V RAČI A JEHO PRIĽAHLÉHO OKOLIA</w:t>
      </w:r>
    </w:p>
    <w:p w14:paraId="2A5EA030" w14:textId="1BDE6B67" w:rsidR="00C56DE3" w:rsidRPr="00D200B2" w:rsidRDefault="00C56DE3" w:rsidP="00036DE9">
      <w:pPr>
        <w:tabs>
          <w:tab w:val="left" w:pos="1701"/>
        </w:tabs>
        <w:spacing w:before="60" w:line="240" w:lineRule="atLeast"/>
        <w:ind w:left="1701" w:right="-51" w:hanging="1701"/>
      </w:pPr>
      <w:r w:rsidRPr="00D200B2">
        <w:t xml:space="preserve">Investor: </w:t>
      </w:r>
      <w:r w:rsidRPr="00D200B2">
        <w:tab/>
      </w:r>
      <w:r w:rsidR="00D428AD">
        <w:rPr>
          <w:b/>
        </w:rPr>
        <w:t xml:space="preserve">MARIANUM </w:t>
      </w:r>
      <w:r w:rsidR="008A4341">
        <w:rPr>
          <w:b/>
        </w:rPr>
        <w:t>–</w:t>
      </w:r>
      <w:r w:rsidR="00D428AD">
        <w:rPr>
          <w:b/>
        </w:rPr>
        <w:t xml:space="preserve"> </w:t>
      </w:r>
      <w:r w:rsidR="008A4341">
        <w:rPr>
          <w:b/>
        </w:rPr>
        <w:t>pohrebníctvo mesta Bratislavy, Šafárikovo námestie</w:t>
      </w:r>
      <w:r w:rsidR="009823E8">
        <w:rPr>
          <w:b/>
        </w:rPr>
        <w:t xml:space="preserve"> 3, 811 02 Bratislava</w:t>
      </w:r>
    </w:p>
    <w:p w14:paraId="2A5EA031" w14:textId="77777777" w:rsidR="00C56DE3" w:rsidRPr="00297AD9" w:rsidRDefault="004F2779" w:rsidP="00626020">
      <w:pPr>
        <w:pStyle w:val="Nadpis1"/>
      </w:pPr>
      <w:bookmarkStart w:id="8" w:name="_Toc1851072"/>
      <w:bookmarkStart w:id="9" w:name="_Toc1851462"/>
      <w:bookmarkStart w:id="10" w:name="_Toc1851921"/>
      <w:bookmarkStart w:id="11" w:name="_Toc1853094"/>
      <w:bookmarkStart w:id="12" w:name="_Toc1893413"/>
      <w:bookmarkStart w:id="13" w:name="_Toc1893530"/>
      <w:bookmarkStart w:id="14" w:name="_Toc109590088"/>
      <w:r w:rsidRPr="00BF2BEB">
        <w:t>Všeobecné údaje a popis stavby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4DD363F6" w14:textId="77777777" w:rsidR="00C119E1" w:rsidRDefault="009823E8" w:rsidP="00B90409">
      <w:pPr>
        <w:tabs>
          <w:tab w:val="left" w:pos="284"/>
        </w:tabs>
        <w:ind w:right="-51"/>
        <w:jc w:val="both"/>
      </w:pPr>
      <w:bookmarkStart w:id="15" w:name="_Toc1851073"/>
      <w:bookmarkStart w:id="16" w:name="_Toc1851463"/>
      <w:bookmarkStart w:id="17" w:name="_Toc1851922"/>
      <w:bookmarkStart w:id="18" w:name="_Toc1853095"/>
      <w:bookmarkStart w:id="19" w:name="_Toc1893414"/>
      <w:bookmarkStart w:id="20" w:name="_Toc1893531"/>
      <w:r>
        <w:t xml:space="preserve">Predkladaná dokumentácia rieši </w:t>
      </w:r>
      <w:r w:rsidR="00616BC2">
        <w:t xml:space="preserve">rekonštrukciu domu smútku v Rači. </w:t>
      </w:r>
      <w:r w:rsidR="0071406B">
        <w:t xml:space="preserve">Navrhovaná rekonštrukcia je riešená zmenou vnútornej dispozície sociálnych </w:t>
      </w:r>
      <w:r w:rsidR="00E65E33">
        <w:t>zariadení, kde sa vybuduje jedno WC pre návštevníkov</w:t>
      </w:r>
      <w:r w:rsidR="00A07687">
        <w:t xml:space="preserve">, jedno WC pre imobilných a jedno WC v zázemí sa zrekonštruuje. </w:t>
      </w:r>
      <w:r w:rsidR="00C218BD">
        <w:t>Navrhovaná je aj rekonštrukcia zatekajúcej strechy. Dažďové zvody ostávajú v pôvodných p</w:t>
      </w:r>
      <w:r w:rsidR="00622983">
        <w:t xml:space="preserve">olohách len sa zrekonštruujú. </w:t>
      </w:r>
      <w:r w:rsidR="00FE2419">
        <w:t xml:space="preserve">Dažďové vody sú odvádzané do vsakovacieho objektu. </w:t>
      </w:r>
      <w:r w:rsidR="00C119E1">
        <w:t xml:space="preserve">Jeden </w:t>
      </w:r>
      <w:proofErr w:type="spellStart"/>
      <w:r w:rsidR="00C119E1">
        <w:t>vsakovací</w:t>
      </w:r>
      <w:proofErr w:type="spellEnd"/>
      <w:r w:rsidR="00C119E1">
        <w:t xml:space="preserve"> objekt je existujúci a dva sa navrhujú. </w:t>
      </w:r>
    </w:p>
    <w:p w14:paraId="78DAF763" w14:textId="70F91225" w:rsidR="00672F87" w:rsidRDefault="00C119E1" w:rsidP="00B90409">
      <w:pPr>
        <w:tabs>
          <w:tab w:val="left" w:pos="284"/>
        </w:tabs>
        <w:ind w:right="-51"/>
        <w:jc w:val="both"/>
      </w:pPr>
      <w:r>
        <w:t xml:space="preserve">Splašková kanalizácia je odvádzaná do existujúcej žumpy. </w:t>
      </w:r>
      <w:r w:rsidR="00DB1F9C">
        <w:t xml:space="preserve">V prípade zlého technického stavu prívodných potrubí do žumpy je potrebné tieto rozvody zrekonštruovať. </w:t>
      </w:r>
    </w:p>
    <w:p w14:paraId="1E3A034A" w14:textId="63411C6C" w:rsidR="00DB1F9C" w:rsidRPr="00E70398" w:rsidRDefault="00DB1F9C" w:rsidP="00B90409">
      <w:pPr>
        <w:tabs>
          <w:tab w:val="left" w:pos="284"/>
        </w:tabs>
        <w:ind w:right="-51"/>
        <w:jc w:val="both"/>
        <w:rPr>
          <w:color w:val="FF0000"/>
          <w:highlight w:val="yellow"/>
        </w:rPr>
      </w:pPr>
      <w:r>
        <w:t xml:space="preserve">Studená pitná voda je privádzaná existujúcou prípojkou do zázemia objektu. </w:t>
      </w:r>
    </w:p>
    <w:p w14:paraId="2A5EA033" w14:textId="77777777" w:rsidR="00C56DE3" w:rsidRPr="000F501A" w:rsidRDefault="00C56DE3" w:rsidP="00626020">
      <w:pPr>
        <w:pStyle w:val="Nadpis1"/>
      </w:pPr>
      <w:bookmarkStart w:id="21" w:name="_Toc109590089"/>
      <w:r w:rsidRPr="000F501A">
        <w:t>Prehľad východiskových podkladov</w:t>
      </w:r>
      <w:r w:rsidR="00DC64FE" w:rsidRPr="000F501A">
        <w:t xml:space="preserve"> a noriem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2A5EA034" w14:textId="77777777" w:rsidR="00DC64FE" w:rsidRPr="00672F87" w:rsidRDefault="00DC64FE" w:rsidP="0089067A">
      <w:pPr>
        <w:tabs>
          <w:tab w:val="left" w:pos="0"/>
          <w:tab w:val="left" w:pos="142"/>
        </w:tabs>
        <w:jc w:val="both"/>
        <w:rPr>
          <w:rFonts w:cs="Arial"/>
        </w:rPr>
      </w:pPr>
      <w:r w:rsidRPr="00672F87">
        <w:rPr>
          <w:rFonts w:cs="Arial"/>
        </w:rPr>
        <w:t>Projekt je spracovaný na základe nasledovných podkladov:</w:t>
      </w:r>
    </w:p>
    <w:p w14:paraId="2A5EA035" w14:textId="77777777" w:rsidR="00DC64FE" w:rsidRPr="00672F87" w:rsidRDefault="00DC64FE" w:rsidP="00285183">
      <w:pPr>
        <w:numPr>
          <w:ilvl w:val="0"/>
          <w:numId w:val="3"/>
        </w:numPr>
        <w:tabs>
          <w:tab w:val="clear" w:pos="720"/>
          <w:tab w:val="left" w:pos="0"/>
          <w:tab w:val="num" w:pos="426"/>
        </w:tabs>
        <w:ind w:hanging="720"/>
        <w:jc w:val="both"/>
        <w:rPr>
          <w:rFonts w:cs="Arial"/>
        </w:rPr>
      </w:pPr>
      <w:r w:rsidRPr="00672F87">
        <w:rPr>
          <w:rFonts w:cs="Arial"/>
        </w:rPr>
        <w:t>podkladov od architekta,</w:t>
      </w:r>
    </w:p>
    <w:p w14:paraId="2A5EA036" w14:textId="77777777" w:rsidR="00DC64FE" w:rsidRPr="00672F87" w:rsidRDefault="00DC64FE" w:rsidP="00285183">
      <w:pPr>
        <w:numPr>
          <w:ilvl w:val="0"/>
          <w:numId w:val="3"/>
        </w:numPr>
        <w:tabs>
          <w:tab w:val="clear" w:pos="720"/>
          <w:tab w:val="left" w:pos="0"/>
          <w:tab w:val="num" w:pos="426"/>
        </w:tabs>
        <w:ind w:left="714" w:hanging="714"/>
        <w:jc w:val="both"/>
        <w:rPr>
          <w:rFonts w:cs="Arial"/>
        </w:rPr>
      </w:pPr>
      <w:r w:rsidRPr="00672F87">
        <w:rPr>
          <w:rFonts w:cs="Arial"/>
        </w:rPr>
        <w:t>požiadaviek investora,</w:t>
      </w:r>
    </w:p>
    <w:p w14:paraId="358C13A1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  <w:highlight w:val="yellow"/>
        </w:rPr>
      </w:pPr>
      <w:r w:rsidRPr="00CD3EE0">
        <w:rPr>
          <w:rFonts w:cs="Arial"/>
          <w:sz w:val="20"/>
          <w:szCs w:val="20"/>
        </w:rPr>
        <w:t>STN 73 3050-1986/Z2 1999 Zemné práce,</w:t>
      </w:r>
    </w:p>
    <w:p w14:paraId="59D9CBD2" w14:textId="77777777" w:rsidR="001671F2" w:rsidRPr="00CD3EE0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CD3EE0">
        <w:rPr>
          <w:rFonts w:cs="Arial"/>
          <w:sz w:val="20"/>
          <w:szCs w:val="20"/>
        </w:rPr>
        <w:t>STN 73 6005-1985/Z6 2001 Priestorová úprava vedení technického vybavenia,</w:t>
      </w:r>
    </w:p>
    <w:p w14:paraId="136D2A4F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73 6006-1991/Z2 2002 Označovanie podzemných vedení výstražnými fóliami,</w:t>
      </w:r>
    </w:p>
    <w:p w14:paraId="5DFCC535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74 3280-2004 EN 13101 Stúpadlá podzemných komôr,</w:t>
      </w:r>
    </w:p>
    <w:p w14:paraId="4526580C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75 5025-1995 Orientačné tabuľky vodovodov,</w:t>
      </w:r>
    </w:p>
    <w:p w14:paraId="6B0C9D5F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75 5402-1988/Z1 2001 Vodárenstvo. Výstavba vodovodných potrubí,</w:t>
      </w:r>
    </w:p>
    <w:p w14:paraId="5DFE3D9F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  <w:highlight w:val="yellow"/>
        </w:rPr>
      </w:pPr>
      <w:r w:rsidRPr="00290499">
        <w:rPr>
          <w:rFonts w:cs="Arial"/>
          <w:sz w:val="20"/>
          <w:szCs w:val="20"/>
        </w:rPr>
        <w:t>STN 75 5403-2001 EN 805 Vodárenstvo. Požiadavky na systémy a súčasti vodovodov mimo budov,</w:t>
      </w:r>
    </w:p>
    <w:p w14:paraId="7D8EDD31" w14:textId="77777777" w:rsidR="001671F2" w:rsidRPr="00290499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75 5630-1986 Podchody vodovodného potrubia pod železnicou a cestnou komunikáciou,</w:t>
      </w:r>
    </w:p>
    <w:p w14:paraId="6CC8983C" w14:textId="77777777" w:rsidR="001671F2" w:rsidRPr="0082284F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290499">
        <w:rPr>
          <w:rFonts w:cs="Arial"/>
          <w:sz w:val="20"/>
          <w:szCs w:val="20"/>
        </w:rPr>
        <w:t>STN 75 6240-2004 EN 14396 Pevné rebríky do vstupných šácht,</w:t>
      </w:r>
    </w:p>
    <w:p w14:paraId="66852450" w14:textId="77777777" w:rsidR="001671F2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82284F">
        <w:rPr>
          <w:rFonts w:cs="Arial"/>
          <w:sz w:val="20"/>
          <w:szCs w:val="20"/>
        </w:rPr>
        <w:t>STN 73 6735-</w:t>
      </w:r>
      <w:r>
        <w:rPr>
          <w:rFonts w:cs="Arial"/>
          <w:sz w:val="20"/>
          <w:szCs w:val="20"/>
        </w:rPr>
        <w:t>2011</w:t>
      </w:r>
      <w:r w:rsidRPr="0082284F">
        <w:rPr>
          <w:rFonts w:cs="Arial"/>
          <w:sz w:val="20"/>
          <w:szCs w:val="20"/>
        </w:rPr>
        <w:t xml:space="preserve"> EN 476 Všeobecné požiadavky na súčasti gravitačných systémov kanalizačných potrubí a stôk,</w:t>
      </w:r>
    </w:p>
    <w:p w14:paraId="1CCF0E45" w14:textId="77777777" w:rsidR="001671F2" w:rsidRDefault="001671F2" w:rsidP="001671F2">
      <w:pPr>
        <w:pStyle w:val="Odsekzoznamu"/>
        <w:numPr>
          <w:ilvl w:val="0"/>
          <w:numId w:val="2"/>
        </w:numPr>
        <w:tabs>
          <w:tab w:val="clear" w:pos="349"/>
          <w:tab w:val="num" w:pos="284"/>
        </w:tabs>
        <w:ind w:left="284" w:hanging="284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STN 73 6655-2008 Výpočet vodovodov v budovách</w:t>
      </w:r>
    </w:p>
    <w:p w14:paraId="4E63348C" w14:textId="77777777" w:rsidR="001671F2" w:rsidRPr="00BE31C5" w:rsidRDefault="001671F2" w:rsidP="001671F2">
      <w:pPr>
        <w:pStyle w:val="Odsekzoznamu"/>
        <w:numPr>
          <w:ilvl w:val="0"/>
          <w:numId w:val="2"/>
        </w:numPr>
        <w:tabs>
          <w:tab w:val="clear" w:pos="349"/>
          <w:tab w:val="num" w:pos="284"/>
        </w:tabs>
        <w:ind w:left="284" w:hanging="284"/>
        <w:contextualSpacing w:val="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STN 73 6760-2009 Kanalizácia v budovách</w:t>
      </w:r>
    </w:p>
    <w:p w14:paraId="4EE3C3A3" w14:textId="77777777" w:rsidR="001671F2" w:rsidRPr="0082284F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82284F">
        <w:rPr>
          <w:rFonts w:cs="Arial"/>
          <w:sz w:val="20"/>
          <w:szCs w:val="20"/>
        </w:rPr>
        <w:t>STN 73 6734-1996 Uloženie a montáž kanalizačných potrubí z PVC-U,</w:t>
      </w:r>
    </w:p>
    <w:p w14:paraId="12D529D2" w14:textId="77777777" w:rsidR="001671F2" w:rsidRPr="0082284F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82284F">
        <w:rPr>
          <w:rFonts w:cs="Arial"/>
          <w:sz w:val="20"/>
          <w:szCs w:val="20"/>
        </w:rPr>
        <w:t>STN 75 6100 EN 752-20</w:t>
      </w:r>
      <w:r>
        <w:rPr>
          <w:rFonts w:cs="Arial"/>
          <w:sz w:val="20"/>
          <w:szCs w:val="20"/>
        </w:rPr>
        <w:t>17</w:t>
      </w:r>
      <w:r w:rsidRPr="0082284F">
        <w:rPr>
          <w:rFonts w:cs="Arial"/>
          <w:sz w:val="20"/>
          <w:szCs w:val="20"/>
        </w:rPr>
        <w:t xml:space="preserve"> Stokové siete a systémy kanalizačných potrubí mimo budov,</w:t>
      </w:r>
    </w:p>
    <w:p w14:paraId="16B21C75" w14:textId="77777777" w:rsidR="001671F2" w:rsidRPr="0082284F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82284F">
        <w:rPr>
          <w:rFonts w:cs="Arial"/>
          <w:sz w:val="20"/>
          <w:szCs w:val="20"/>
        </w:rPr>
        <w:t>STN 75 6101-20</w:t>
      </w:r>
      <w:r>
        <w:rPr>
          <w:rFonts w:cs="Arial"/>
          <w:sz w:val="20"/>
          <w:szCs w:val="20"/>
        </w:rPr>
        <w:t>16</w:t>
      </w:r>
      <w:r w:rsidRPr="0082284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Gravitačné kanalizačné systémy mimo budov</w:t>
      </w:r>
      <w:r w:rsidRPr="0082284F">
        <w:rPr>
          <w:rFonts w:cs="Arial"/>
          <w:sz w:val="20"/>
          <w:szCs w:val="20"/>
        </w:rPr>
        <w:t>,</w:t>
      </w:r>
    </w:p>
    <w:p w14:paraId="49FA6CB3" w14:textId="77777777" w:rsidR="001671F2" w:rsidRPr="0082284F" w:rsidRDefault="001671F2" w:rsidP="001671F2">
      <w:pPr>
        <w:pStyle w:val="Odsekzoznamu"/>
        <w:tabs>
          <w:tab w:val="left" w:pos="0"/>
          <w:tab w:val="num" w:pos="720"/>
        </w:tabs>
        <w:ind w:left="0"/>
        <w:jc w:val="both"/>
        <w:rPr>
          <w:rFonts w:cs="Arial"/>
          <w:sz w:val="20"/>
          <w:szCs w:val="20"/>
        </w:rPr>
      </w:pPr>
      <w:r w:rsidRPr="0082284F">
        <w:rPr>
          <w:rFonts w:cs="Arial"/>
          <w:sz w:val="20"/>
          <w:szCs w:val="20"/>
        </w:rPr>
        <w:t>STN 75 6910-</w:t>
      </w:r>
      <w:r>
        <w:rPr>
          <w:rFonts w:cs="Arial"/>
          <w:sz w:val="20"/>
          <w:szCs w:val="20"/>
        </w:rPr>
        <w:t>2016</w:t>
      </w:r>
      <w:r w:rsidRPr="0082284F">
        <w:rPr>
          <w:rFonts w:cs="Arial"/>
          <w:sz w:val="20"/>
          <w:szCs w:val="20"/>
        </w:rPr>
        <w:t xml:space="preserve"> EN 1610 Stavba a skúšanie kanalizačných potrubí a stôk,</w:t>
      </w:r>
    </w:p>
    <w:p w14:paraId="2728F1B6" w14:textId="77777777" w:rsidR="001671F2" w:rsidRPr="00D17F55" w:rsidRDefault="001671F2" w:rsidP="001671F2">
      <w:pPr>
        <w:pStyle w:val="Odsekzoznamu"/>
        <w:tabs>
          <w:tab w:val="left" w:pos="0"/>
        </w:tabs>
        <w:ind w:left="0"/>
        <w:jc w:val="both"/>
        <w:rPr>
          <w:rStyle w:val="Vrazn"/>
          <w:rFonts w:cs="Arial"/>
          <w:b w:val="0"/>
          <w:bCs w:val="0"/>
          <w:sz w:val="20"/>
          <w:szCs w:val="20"/>
        </w:rPr>
      </w:pPr>
      <w:r>
        <w:rPr>
          <w:rFonts w:cs="Arial"/>
          <w:sz w:val="20"/>
          <w:szCs w:val="20"/>
        </w:rPr>
        <w:t xml:space="preserve">Zákon č. 50/1976 Zb. o územnom plánovaní a stavebnom poriadku( stavebný zákon) </w:t>
      </w:r>
      <w:r w:rsidRPr="002E4783">
        <w:rPr>
          <w:rFonts w:cs="Arial"/>
          <w:sz w:val="20"/>
          <w:szCs w:val="20"/>
        </w:rPr>
        <w:t>v</w:t>
      </w:r>
      <w:r w:rsidRPr="00F652E5">
        <w:rPr>
          <w:rFonts w:cs="Arial"/>
          <w:sz w:val="20"/>
          <w:szCs w:val="20"/>
        </w:rPr>
        <w:t xml:space="preserve"> znení neskorších predpisov a ktorým sa menia a dopĺňajú niektoré zákony,</w:t>
      </w:r>
    </w:p>
    <w:p w14:paraId="68CD8F0F" w14:textId="77777777" w:rsidR="001671F2" w:rsidRPr="00F652E5" w:rsidRDefault="001671F2" w:rsidP="001671F2">
      <w:pPr>
        <w:pStyle w:val="Odsekzoznamu"/>
        <w:tabs>
          <w:tab w:val="left" w:pos="0"/>
        </w:tabs>
        <w:ind w:left="0"/>
        <w:jc w:val="both"/>
        <w:rPr>
          <w:rFonts w:cs="Arial"/>
          <w:b/>
          <w:sz w:val="20"/>
          <w:szCs w:val="20"/>
        </w:rPr>
      </w:pPr>
      <w:r w:rsidRPr="00F652E5">
        <w:rPr>
          <w:rFonts w:cs="Arial"/>
          <w:sz w:val="20"/>
          <w:szCs w:val="20"/>
        </w:rPr>
        <w:t>Zákon č. 293/2014 Zb. ktorým sa mení a dopĺňa zákon č. 50/1976 Zb. o územnom plánovaní a stavebnom poriadku (stavebný zákon) v znení neskorších predpisov a ktorým sa menia a dopĺňajú niektoré zákony,</w:t>
      </w:r>
    </w:p>
    <w:p w14:paraId="30F61847" w14:textId="77777777" w:rsidR="001671F2" w:rsidRPr="00F652E5" w:rsidRDefault="001671F2" w:rsidP="001671F2">
      <w:pPr>
        <w:pStyle w:val="Odsekzoznamu"/>
        <w:tabs>
          <w:tab w:val="left" w:pos="0"/>
        </w:tabs>
        <w:ind w:left="0"/>
        <w:jc w:val="both"/>
        <w:rPr>
          <w:rFonts w:cs="Arial"/>
          <w:sz w:val="20"/>
          <w:szCs w:val="20"/>
        </w:rPr>
      </w:pPr>
      <w:r w:rsidRPr="00F652E5">
        <w:rPr>
          <w:rFonts w:cs="Arial"/>
          <w:bCs/>
          <w:sz w:val="20"/>
          <w:szCs w:val="20"/>
        </w:rPr>
        <w:t>Vyhláška 364/2012 k zákonu č. 555/2005 Z. z. o energetickej hospodárnosti budov,</w:t>
      </w:r>
    </w:p>
    <w:p w14:paraId="6C0E2FDC" w14:textId="77777777" w:rsidR="001671F2" w:rsidRPr="00F652E5" w:rsidRDefault="001671F2" w:rsidP="001671F2">
      <w:pPr>
        <w:pStyle w:val="Odsekzoznamu"/>
        <w:tabs>
          <w:tab w:val="left" w:pos="0"/>
        </w:tabs>
        <w:ind w:left="0"/>
        <w:jc w:val="both"/>
        <w:rPr>
          <w:rFonts w:cs="Arial"/>
          <w:sz w:val="20"/>
          <w:szCs w:val="20"/>
        </w:rPr>
      </w:pPr>
      <w:r w:rsidRPr="00F652E5">
        <w:rPr>
          <w:rFonts w:cs="Arial"/>
          <w:bCs/>
          <w:sz w:val="20"/>
          <w:szCs w:val="20"/>
        </w:rPr>
        <w:t xml:space="preserve">Vyhláška 684/2006 </w:t>
      </w:r>
      <w:r w:rsidRPr="00F652E5">
        <w:rPr>
          <w:rFonts w:cs="Arial"/>
          <w:bCs/>
          <w:color w:val="070707"/>
          <w:sz w:val="20"/>
          <w:szCs w:val="20"/>
          <w:shd w:val="clear" w:color="auto" w:fill="FFFFFF"/>
        </w:rPr>
        <w:t>Ministerstva životného prostredia Slovenskej republiky, ktorou sa ustanovujú podrobnosti o technických požiadavkách na návrh, projektovú dokumentáciu a výstavbu verejných vodovodov a verejných kanalizácií,</w:t>
      </w:r>
    </w:p>
    <w:p w14:paraId="774F037A" w14:textId="77777777" w:rsidR="001671F2" w:rsidRPr="00F652E5" w:rsidRDefault="001671F2" w:rsidP="001671F2">
      <w:pPr>
        <w:tabs>
          <w:tab w:val="left" w:pos="0"/>
        </w:tabs>
        <w:spacing w:line="276" w:lineRule="auto"/>
        <w:jc w:val="both"/>
        <w:rPr>
          <w:rFonts w:cs="Arial"/>
        </w:rPr>
      </w:pPr>
      <w:r w:rsidRPr="00F652E5">
        <w:rPr>
          <w:rFonts w:cs="Arial"/>
        </w:rPr>
        <w:t>Ďalších predpisov.</w:t>
      </w:r>
    </w:p>
    <w:p w14:paraId="561536D7" w14:textId="5BD71387" w:rsidR="00E4459B" w:rsidRPr="000F501A" w:rsidRDefault="000B3F32" w:rsidP="00E4459B">
      <w:pPr>
        <w:pStyle w:val="Nadpis1"/>
      </w:pPr>
      <w:bookmarkStart w:id="22" w:name="_Toc109590090"/>
      <w:r>
        <w:t>Zásobovanie</w:t>
      </w:r>
      <w:r w:rsidR="006820CB">
        <w:t xml:space="preserve"> </w:t>
      </w:r>
      <w:r w:rsidR="00B5570E">
        <w:t xml:space="preserve">vodou </w:t>
      </w:r>
      <w:r w:rsidR="00B101E7">
        <w:t>domu smútku</w:t>
      </w:r>
      <w:bookmarkEnd w:id="22"/>
    </w:p>
    <w:p w14:paraId="7825CBDE" w14:textId="0BC8DFDD" w:rsidR="00E568EC" w:rsidRDefault="00664AD3" w:rsidP="005E50E2">
      <w:pPr>
        <w:jc w:val="both"/>
      </w:pPr>
      <w:r>
        <w:t xml:space="preserve">Prívod vody do domu smútku sa nemení a ostáva v pôvodnej trase. Pokiaľ by sa pri prácach zistilo, že technický stav </w:t>
      </w:r>
      <w:r w:rsidR="00D74E6E">
        <w:t xml:space="preserve">potrubia je nevyhovujúci je potrebného zrekonštruovať. </w:t>
      </w:r>
    </w:p>
    <w:p w14:paraId="6C9F7FC9" w14:textId="77777777" w:rsidR="004B4A4A" w:rsidRDefault="004B4A4A" w:rsidP="005E50E2">
      <w:pPr>
        <w:jc w:val="both"/>
      </w:pPr>
    </w:p>
    <w:p w14:paraId="685D81CA" w14:textId="44855277" w:rsidR="00BA45C8" w:rsidRPr="008E7329" w:rsidRDefault="00BA45C8" w:rsidP="00BA45C8">
      <w:pPr>
        <w:jc w:val="both"/>
        <w:rPr>
          <w:b/>
          <w:sz w:val="22"/>
          <w:szCs w:val="22"/>
        </w:rPr>
      </w:pPr>
      <w:r w:rsidRPr="008E7329">
        <w:rPr>
          <w:b/>
          <w:sz w:val="22"/>
          <w:szCs w:val="22"/>
        </w:rPr>
        <w:t xml:space="preserve">Potreba vody pre </w:t>
      </w:r>
      <w:r w:rsidR="00DB37C7">
        <w:rPr>
          <w:b/>
          <w:sz w:val="22"/>
          <w:szCs w:val="22"/>
        </w:rPr>
        <w:t>dom smútku</w:t>
      </w:r>
      <w:r w:rsidRPr="008E7329">
        <w:rPr>
          <w:b/>
          <w:sz w:val="22"/>
          <w:szCs w:val="22"/>
        </w:rPr>
        <w:t xml:space="preserve">: </w:t>
      </w:r>
    </w:p>
    <w:p w14:paraId="664917F1" w14:textId="04F6B8AE" w:rsidR="00BA45C8" w:rsidRPr="008E7329" w:rsidRDefault="00BA45C8" w:rsidP="00BA45C8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8E7329">
        <w:rPr>
          <w:rFonts w:ascii="Arial" w:hAnsi="Arial" w:cs="Arial"/>
          <w:sz w:val="20"/>
          <w:szCs w:val="20"/>
        </w:rPr>
        <w:t xml:space="preserve">Počet </w:t>
      </w:r>
      <w:r w:rsidR="00131075">
        <w:rPr>
          <w:rFonts w:ascii="Arial" w:hAnsi="Arial" w:cs="Arial"/>
          <w:sz w:val="20"/>
          <w:szCs w:val="20"/>
        </w:rPr>
        <w:t>zamestnancov</w:t>
      </w:r>
      <w:r w:rsidRPr="008E7329">
        <w:rPr>
          <w:rFonts w:ascii="Arial" w:hAnsi="Arial" w:cs="Arial"/>
          <w:sz w:val="20"/>
          <w:szCs w:val="20"/>
        </w:rPr>
        <w:t xml:space="preserve">: </w:t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</w:r>
      <w:r w:rsidR="00131075">
        <w:rPr>
          <w:rFonts w:ascii="Arial" w:hAnsi="Arial" w:cs="Arial"/>
          <w:sz w:val="20"/>
          <w:szCs w:val="20"/>
        </w:rPr>
        <w:t>2</w:t>
      </w:r>
    </w:p>
    <w:p w14:paraId="1D287888" w14:textId="566DB910" w:rsidR="00BA45C8" w:rsidRPr="008E7329" w:rsidRDefault="00BA45C8" w:rsidP="00BA45C8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8E7329">
        <w:rPr>
          <w:rFonts w:ascii="Arial" w:hAnsi="Arial" w:cs="Arial"/>
          <w:sz w:val="20"/>
          <w:szCs w:val="20"/>
        </w:rPr>
        <w:t>Špecifická potreba vody</w:t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</w:r>
      <w:r w:rsidRPr="008E7329">
        <w:rPr>
          <w:rFonts w:ascii="Arial" w:hAnsi="Arial" w:cs="Arial"/>
          <w:sz w:val="20"/>
          <w:szCs w:val="20"/>
        </w:rPr>
        <w:tab/>
        <w:t xml:space="preserve">q = </w:t>
      </w:r>
      <w:r w:rsidR="009461C3">
        <w:rPr>
          <w:rFonts w:ascii="Arial" w:hAnsi="Arial" w:cs="Arial"/>
          <w:sz w:val="20"/>
          <w:szCs w:val="20"/>
        </w:rPr>
        <w:t>60</w:t>
      </w:r>
      <w:r w:rsidRPr="008E7329">
        <w:rPr>
          <w:rFonts w:ascii="Arial" w:hAnsi="Arial" w:cs="Arial"/>
          <w:sz w:val="20"/>
          <w:szCs w:val="20"/>
        </w:rPr>
        <w:t xml:space="preserve"> l/os . deň</w:t>
      </w:r>
    </w:p>
    <w:p w14:paraId="34A4B62D" w14:textId="042C775C" w:rsidR="00BA45C8" w:rsidRPr="00054C70" w:rsidRDefault="00BA45C8" w:rsidP="00BA45C8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054C70">
        <w:rPr>
          <w:rFonts w:ascii="Arial" w:hAnsi="Arial" w:cs="Arial"/>
          <w:sz w:val="20"/>
          <w:szCs w:val="20"/>
        </w:rPr>
        <w:t xml:space="preserve">Priemerná denná potreba vody: </w:t>
      </w:r>
      <w:r w:rsidRPr="00054C70">
        <w:rPr>
          <w:rFonts w:ascii="Arial" w:hAnsi="Arial" w:cs="Arial"/>
          <w:sz w:val="20"/>
          <w:szCs w:val="20"/>
        </w:rPr>
        <w:tab/>
      </w:r>
      <w:r w:rsidRPr="00054C70">
        <w:rPr>
          <w:rFonts w:ascii="Arial" w:hAnsi="Arial" w:cs="Arial"/>
          <w:sz w:val="20"/>
          <w:szCs w:val="20"/>
        </w:rPr>
        <w:tab/>
      </w:r>
      <w:r w:rsidRPr="00054C70">
        <w:rPr>
          <w:rFonts w:ascii="Arial" w:hAnsi="Arial" w:cs="Arial"/>
          <w:sz w:val="20"/>
          <w:szCs w:val="20"/>
        </w:rPr>
        <w:tab/>
      </w:r>
      <w:proofErr w:type="spellStart"/>
      <w:r w:rsidRPr="00054C70">
        <w:rPr>
          <w:rFonts w:ascii="Arial" w:hAnsi="Arial" w:cs="Arial"/>
          <w:sz w:val="20"/>
          <w:szCs w:val="20"/>
        </w:rPr>
        <w:t>Q</w:t>
      </w:r>
      <w:r w:rsidRPr="00054C70">
        <w:rPr>
          <w:rFonts w:ascii="Arial" w:hAnsi="Arial" w:cs="Arial"/>
          <w:sz w:val="20"/>
          <w:szCs w:val="20"/>
          <w:vertAlign w:val="subscript"/>
        </w:rPr>
        <w:t>d</w:t>
      </w:r>
      <w:proofErr w:type="spellEnd"/>
      <w:r w:rsidRPr="00054C70">
        <w:rPr>
          <w:rFonts w:ascii="Arial" w:hAnsi="Arial" w:cs="Arial"/>
          <w:sz w:val="20"/>
          <w:szCs w:val="20"/>
        </w:rPr>
        <w:t xml:space="preserve"> = n . q = </w:t>
      </w:r>
      <w:r w:rsidR="00693228">
        <w:rPr>
          <w:rFonts w:ascii="Arial" w:hAnsi="Arial" w:cs="Arial"/>
          <w:b/>
          <w:sz w:val="20"/>
          <w:szCs w:val="20"/>
        </w:rPr>
        <w:t>120</w:t>
      </w:r>
      <w:r w:rsidRPr="00054C70">
        <w:rPr>
          <w:rFonts w:ascii="Arial" w:hAnsi="Arial" w:cs="Arial"/>
          <w:b/>
          <w:sz w:val="20"/>
          <w:szCs w:val="20"/>
        </w:rPr>
        <w:t xml:space="preserve"> l/deň </w:t>
      </w:r>
    </w:p>
    <w:p w14:paraId="2DED9BBD" w14:textId="2348A11D" w:rsidR="00BA45C8" w:rsidRPr="00E54C84" w:rsidRDefault="00BA45C8" w:rsidP="00BA45C8">
      <w:pPr>
        <w:pStyle w:val="Text"/>
        <w:ind w:firstLine="0"/>
        <w:rPr>
          <w:rFonts w:ascii="Arial" w:hAnsi="Arial" w:cs="Arial"/>
          <w:sz w:val="20"/>
          <w:szCs w:val="20"/>
          <w:highlight w:val="yellow"/>
        </w:rPr>
      </w:pPr>
      <w:r w:rsidRPr="00533447">
        <w:rPr>
          <w:rFonts w:ascii="Arial" w:hAnsi="Arial" w:cs="Arial"/>
          <w:sz w:val="20"/>
          <w:szCs w:val="20"/>
        </w:rPr>
        <w:t xml:space="preserve">Max. denná potreba vody: </w:t>
      </w:r>
      <w:r w:rsidRPr="00533447">
        <w:rPr>
          <w:rFonts w:ascii="Arial" w:hAnsi="Arial" w:cs="Arial"/>
          <w:sz w:val="20"/>
          <w:szCs w:val="20"/>
        </w:rPr>
        <w:tab/>
      </w:r>
      <w:r w:rsidRPr="00533447">
        <w:rPr>
          <w:rFonts w:ascii="Arial" w:hAnsi="Arial" w:cs="Arial"/>
          <w:sz w:val="20"/>
          <w:szCs w:val="20"/>
        </w:rPr>
        <w:tab/>
      </w:r>
      <w:r w:rsidRPr="00533447">
        <w:rPr>
          <w:rFonts w:ascii="Arial" w:hAnsi="Arial" w:cs="Arial"/>
          <w:sz w:val="20"/>
          <w:szCs w:val="20"/>
        </w:rPr>
        <w:tab/>
      </w:r>
      <w:proofErr w:type="spellStart"/>
      <w:r w:rsidRPr="00533447">
        <w:rPr>
          <w:rFonts w:ascii="Arial" w:hAnsi="Arial" w:cs="Arial"/>
          <w:sz w:val="20"/>
          <w:szCs w:val="20"/>
        </w:rPr>
        <w:t>Q</w:t>
      </w:r>
      <w:r w:rsidRPr="00533447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533447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533447">
        <w:rPr>
          <w:rFonts w:ascii="Arial" w:hAnsi="Arial" w:cs="Arial"/>
          <w:sz w:val="20"/>
          <w:szCs w:val="20"/>
        </w:rPr>
        <w:t>Qd</w:t>
      </w:r>
      <w:proofErr w:type="spellEnd"/>
      <w:r w:rsidRPr="00533447">
        <w:rPr>
          <w:rFonts w:ascii="Arial" w:hAnsi="Arial" w:cs="Arial"/>
          <w:sz w:val="20"/>
          <w:szCs w:val="20"/>
        </w:rPr>
        <w:t xml:space="preserve"> . 1,</w:t>
      </w:r>
      <w:r w:rsidR="00693228">
        <w:rPr>
          <w:rFonts w:ascii="Arial" w:hAnsi="Arial" w:cs="Arial"/>
          <w:sz w:val="20"/>
          <w:szCs w:val="20"/>
        </w:rPr>
        <w:t>2</w:t>
      </w:r>
      <w:r w:rsidRPr="00533447">
        <w:rPr>
          <w:rFonts w:ascii="Arial" w:hAnsi="Arial" w:cs="Arial"/>
          <w:sz w:val="20"/>
          <w:szCs w:val="20"/>
        </w:rPr>
        <w:t xml:space="preserve"> = </w:t>
      </w:r>
      <w:r w:rsidR="00693228">
        <w:rPr>
          <w:rFonts w:ascii="Arial" w:hAnsi="Arial" w:cs="Arial"/>
          <w:b/>
          <w:sz w:val="20"/>
          <w:szCs w:val="20"/>
        </w:rPr>
        <w:t>144</w:t>
      </w:r>
      <w:r w:rsidRPr="00533447">
        <w:rPr>
          <w:rFonts w:ascii="Arial" w:hAnsi="Arial" w:cs="Arial"/>
          <w:b/>
          <w:sz w:val="20"/>
          <w:szCs w:val="20"/>
        </w:rPr>
        <w:t xml:space="preserve"> l/deň</w:t>
      </w:r>
    </w:p>
    <w:p w14:paraId="0F7C6EC4" w14:textId="117565F9" w:rsidR="00BA45C8" w:rsidRPr="001E700C" w:rsidRDefault="00BA45C8" w:rsidP="00BA45C8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1E700C">
        <w:rPr>
          <w:rFonts w:ascii="Arial" w:hAnsi="Arial" w:cs="Arial"/>
          <w:sz w:val="20"/>
          <w:szCs w:val="20"/>
        </w:rPr>
        <w:t>Max. hodinová potreba vody:</w:t>
      </w:r>
      <w:r w:rsidRPr="001E700C">
        <w:rPr>
          <w:rFonts w:ascii="Arial" w:hAnsi="Arial" w:cs="Arial"/>
          <w:sz w:val="20"/>
          <w:szCs w:val="20"/>
        </w:rPr>
        <w:tab/>
      </w:r>
      <w:r w:rsidRPr="001E700C">
        <w:rPr>
          <w:rFonts w:ascii="Arial" w:hAnsi="Arial" w:cs="Arial"/>
          <w:sz w:val="20"/>
          <w:szCs w:val="20"/>
        </w:rPr>
        <w:tab/>
      </w:r>
      <w:r w:rsidRPr="001E700C">
        <w:rPr>
          <w:rFonts w:ascii="Arial" w:hAnsi="Arial" w:cs="Arial"/>
          <w:sz w:val="20"/>
          <w:szCs w:val="20"/>
        </w:rPr>
        <w:tab/>
      </w:r>
      <w:proofErr w:type="spellStart"/>
      <w:r w:rsidRPr="001E700C">
        <w:rPr>
          <w:rFonts w:ascii="Arial" w:hAnsi="Arial" w:cs="Arial"/>
          <w:sz w:val="20"/>
          <w:szCs w:val="20"/>
        </w:rPr>
        <w:t>Q</w:t>
      </w:r>
      <w:r w:rsidRPr="001E700C">
        <w:rPr>
          <w:rFonts w:ascii="Arial" w:hAnsi="Arial" w:cs="Arial"/>
          <w:sz w:val="20"/>
          <w:szCs w:val="20"/>
          <w:vertAlign w:val="subscript"/>
        </w:rPr>
        <w:t>h</w:t>
      </w:r>
      <w:proofErr w:type="spellEnd"/>
      <w:r w:rsidRPr="001E700C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1E700C">
        <w:rPr>
          <w:rFonts w:ascii="Arial" w:hAnsi="Arial" w:cs="Arial"/>
          <w:sz w:val="20"/>
          <w:szCs w:val="20"/>
        </w:rPr>
        <w:t>= (</w:t>
      </w:r>
      <w:proofErr w:type="spellStart"/>
      <w:r w:rsidRPr="001E700C">
        <w:rPr>
          <w:rFonts w:ascii="Arial" w:hAnsi="Arial" w:cs="Arial"/>
          <w:sz w:val="20"/>
          <w:szCs w:val="20"/>
        </w:rPr>
        <w:t>Q</w:t>
      </w:r>
      <w:r w:rsidRPr="001E700C">
        <w:rPr>
          <w:rFonts w:ascii="Arial" w:hAnsi="Arial" w:cs="Arial"/>
          <w:sz w:val="20"/>
          <w:szCs w:val="20"/>
          <w:vertAlign w:val="subscript"/>
        </w:rPr>
        <w:t>max</w:t>
      </w:r>
      <w:proofErr w:type="spellEnd"/>
      <w:r w:rsidRPr="001E700C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1E700C">
        <w:rPr>
          <w:rFonts w:ascii="Arial" w:hAnsi="Arial" w:cs="Arial"/>
          <w:sz w:val="20"/>
          <w:szCs w:val="20"/>
        </w:rPr>
        <w:t>. 1,8)/</w:t>
      </w:r>
      <w:r w:rsidR="00071ED7">
        <w:rPr>
          <w:rFonts w:ascii="Arial" w:hAnsi="Arial" w:cs="Arial"/>
          <w:sz w:val="20"/>
          <w:szCs w:val="20"/>
        </w:rPr>
        <w:t>10</w:t>
      </w:r>
      <w:r w:rsidRPr="001E700C">
        <w:rPr>
          <w:rFonts w:ascii="Arial" w:hAnsi="Arial" w:cs="Arial"/>
          <w:sz w:val="20"/>
          <w:szCs w:val="20"/>
        </w:rPr>
        <w:t xml:space="preserve"> = </w:t>
      </w:r>
      <w:r w:rsidR="00071ED7">
        <w:rPr>
          <w:rFonts w:ascii="Arial" w:hAnsi="Arial" w:cs="Arial"/>
          <w:sz w:val="20"/>
          <w:szCs w:val="20"/>
        </w:rPr>
        <w:t>25,92</w:t>
      </w:r>
      <w:r w:rsidRPr="001E700C">
        <w:rPr>
          <w:rFonts w:ascii="Arial" w:hAnsi="Arial" w:cs="Arial"/>
          <w:sz w:val="20"/>
          <w:szCs w:val="20"/>
        </w:rPr>
        <w:t xml:space="preserve"> l/h = </w:t>
      </w:r>
      <w:r w:rsidRPr="001E700C">
        <w:rPr>
          <w:rFonts w:ascii="Arial" w:hAnsi="Arial" w:cs="Arial"/>
          <w:b/>
          <w:sz w:val="20"/>
          <w:szCs w:val="20"/>
        </w:rPr>
        <w:t>0,0</w:t>
      </w:r>
      <w:r w:rsidR="00071ED7">
        <w:rPr>
          <w:rFonts w:ascii="Arial" w:hAnsi="Arial" w:cs="Arial"/>
          <w:b/>
          <w:sz w:val="20"/>
          <w:szCs w:val="20"/>
        </w:rPr>
        <w:t>25</w:t>
      </w:r>
      <w:r w:rsidRPr="001E700C">
        <w:rPr>
          <w:rFonts w:ascii="Arial" w:hAnsi="Arial" w:cs="Arial"/>
          <w:b/>
          <w:sz w:val="20"/>
          <w:szCs w:val="20"/>
        </w:rPr>
        <w:t xml:space="preserve"> m</w:t>
      </w:r>
      <w:r w:rsidRPr="001E700C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1E700C">
        <w:rPr>
          <w:rFonts w:ascii="Arial" w:hAnsi="Arial" w:cs="Arial"/>
          <w:b/>
          <w:sz w:val="20"/>
          <w:szCs w:val="20"/>
        </w:rPr>
        <w:t>/h</w:t>
      </w:r>
    </w:p>
    <w:p w14:paraId="33B20529" w14:textId="7F77A8A0" w:rsidR="00BA45C8" w:rsidRDefault="00BA45C8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  <w:r w:rsidRPr="001E700C">
        <w:rPr>
          <w:rFonts w:ascii="Arial" w:hAnsi="Arial" w:cs="Arial"/>
          <w:sz w:val="20"/>
          <w:szCs w:val="20"/>
        </w:rPr>
        <w:t>Ročná orientačná potreba vody:</w:t>
      </w:r>
      <w:r w:rsidRPr="001E700C">
        <w:rPr>
          <w:rFonts w:ascii="Arial" w:hAnsi="Arial" w:cs="Arial"/>
          <w:sz w:val="20"/>
          <w:szCs w:val="20"/>
        </w:rPr>
        <w:tab/>
      </w:r>
      <w:r w:rsidRPr="001E700C">
        <w:rPr>
          <w:rFonts w:ascii="Arial" w:hAnsi="Arial" w:cs="Arial"/>
          <w:sz w:val="20"/>
          <w:szCs w:val="20"/>
        </w:rPr>
        <w:tab/>
      </w:r>
      <w:r w:rsidRPr="001E700C">
        <w:rPr>
          <w:rFonts w:ascii="Arial" w:hAnsi="Arial" w:cs="Arial"/>
          <w:sz w:val="20"/>
          <w:szCs w:val="20"/>
        </w:rPr>
        <w:tab/>
      </w:r>
      <w:proofErr w:type="spellStart"/>
      <w:r w:rsidRPr="001E700C">
        <w:rPr>
          <w:rFonts w:ascii="Arial" w:hAnsi="Arial" w:cs="Arial"/>
          <w:sz w:val="20"/>
          <w:szCs w:val="20"/>
        </w:rPr>
        <w:t>Q</w:t>
      </w:r>
      <w:r w:rsidRPr="001E700C">
        <w:rPr>
          <w:rFonts w:ascii="Arial" w:hAnsi="Arial" w:cs="Arial"/>
          <w:sz w:val="20"/>
          <w:szCs w:val="20"/>
          <w:vertAlign w:val="subscript"/>
        </w:rPr>
        <w:t>rok</w:t>
      </w:r>
      <w:proofErr w:type="spellEnd"/>
      <w:r w:rsidRPr="001E700C">
        <w:rPr>
          <w:rFonts w:ascii="Arial" w:hAnsi="Arial" w:cs="Arial"/>
          <w:sz w:val="20"/>
          <w:szCs w:val="20"/>
        </w:rPr>
        <w:t xml:space="preserve"> = </w:t>
      </w:r>
      <w:proofErr w:type="spellStart"/>
      <w:r w:rsidRPr="001E700C">
        <w:rPr>
          <w:rFonts w:ascii="Arial" w:hAnsi="Arial" w:cs="Arial"/>
          <w:sz w:val="20"/>
          <w:szCs w:val="20"/>
        </w:rPr>
        <w:t>Q</w:t>
      </w:r>
      <w:r w:rsidRPr="001E700C">
        <w:rPr>
          <w:rFonts w:ascii="Arial" w:hAnsi="Arial" w:cs="Arial"/>
          <w:sz w:val="20"/>
          <w:szCs w:val="20"/>
          <w:vertAlign w:val="subscript"/>
        </w:rPr>
        <w:t>p</w:t>
      </w:r>
      <w:proofErr w:type="spellEnd"/>
      <w:r w:rsidRPr="001E700C">
        <w:rPr>
          <w:rFonts w:ascii="Arial" w:hAnsi="Arial" w:cs="Arial"/>
          <w:sz w:val="20"/>
          <w:szCs w:val="20"/>
          <w:vertAlign w:val="subscript"/>
        </w:rPr>
        <w:t xml:space="preserve"> </w:t>
      </w:r>
      <w:r w:rsidRPr="001E700C">
        <w:rPr>
          <w:rFonts w:ascii="Arial" w:hAnsi="Arial" w:cs="Arial"/>
          <w:sz w:val="20"/>
          <w:szCs w:val="20"/>
        </w:rPr>
        <w:t xml:space="preserve">. 365 = </w:t>
      </w:r>
      <w:r w:rsidR="00071ED7">
        <w:rPr>
          <w:rFonts w:ascii="Arial" w:hAnsi="Arial" w:cs="Arial"/>
          <w:b/>
          <w:sz w:val="20"/>
          <w:szCs w:val="20"/>
        </w:rPr>
        <w:t>43,80</w:t>
      </w:r>
      <w:r w:rsidRPr="001E700C">
        <w:rPr>
          <w:rFonts w:ascii="Arial" w:hAnsi="Arial" w:cs="Arial"/>
          <w:sz w:val="20"/>
          <w:szCs w:val="20"/>
        </w:rPr>
        <w:t xml:space="preserve"> </w:t>
      </w:r>
      <w:r w:rsidRPr="001E700C">
        <w:rPr>
          <w:rFonts w:ascii="Arial" w:hAnsi="Arial" w:cs="Arial"/>
          <w:b/>
          <w:sz w:val="20"/>
          <w:szCs w:val="20"/>
        </w:rPr>
        <w:t>m</w:t>
      </w:r>
      <w:r w:rsidRPr="001E700C">
        <w:rPr>
          <w:rFonts w:ascii="Arial" w:hAnsi="Arial" w:cs="Arial"/>
          <w:b/>
          <w:sz w:val="20"/>
          <w:szCs w:val="20"/>
          <w:vertAlign w:val="superscript"/>
        </w:rPr>
        <w:t>3</w:t>
      </w:r>
      <w:r w:rsidRPr="001E700C">
        <w:rPr>
          <w:rFonts w:ascii="Arial" w:hAnsi="Arial" w:cs="Arial"/>
          <w:b/>
          <w:sz w:val="20"/>
          <w:szCs w:val="20"/>
        </w:rPr>
        <w:t>/rok</w:t>
      </w:r>
    </w:p>
    <w:p w14:paraId="2C8CF810" w14:textId="47831B15" w:rsidR="001D33AF" w:rsidRDefault="001D33AF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0BB2DE0E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1F64121D" w14:textId="3B655B35" w:rsidR="007329C1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Pred rekonštrukciou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429"/>
        <w:gridCol w:w="1080"/>
        <w:gridCol w:w="704"/>
        <w:gridCol w:w="1219"/>
        <w:gridCol w:w="1219"/>
        <w:gridCol w:w="696"/>
        <w:gridCol w:w="476"/>
      </w:tblGrid>
      <w:tr w:rsidR="00DD781D" w:rsidRPr="00DD781D" w14:paraId="01F1F22D" w14:textId="77777777" w:rsidTr="00DD781D">
        <w:trPr>
          <w:trHeight w:val="255"/>
        </w:trPr>
        <w:tc>
          <w:tcPr>
            <w:tcW w:w="3066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2DC394F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VÝPOČTOVÝ PRIETOK PODĽA STN 736655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8F51E8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  <w:tc>
          <w:tcPr>
            <w:tcW w:w="3598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64612B1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DD781D">
              <w:rPr>
                <w:rFonts w:cs="Arial"/>
                <w:b/>
                <w:bCs/>
                <w:sz w:val="32"/>
                <w:szCs w:val="32"/>
              </w:rPr>
              <w:t>Dom smútku v Rači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7C8DF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DD781D" w:rsidRPr="00DD781D" w14:paraId="7D3DDD9D" w14:textId="77777777" w:rsidTr="00DD781D">
        <w:trPr>
          <w:trHeight w:val="270"/>
        </w:trPr>
        <w:tc>
          <w:tcPr>
            <w:tcW w:w="3066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9E44FB0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6D1D448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 </w:t>
            </w:r>
          </w:p>
        </w:tc>
        <w:tc>
          <w:tcPr>
            <w:tcW w:w="3598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AC98142" w14:textId="77777777" w:rsidR="00DD781D" w:rsidRPr="00DD781D" w:rsidRDefault="00DD781D" w:rsidP="00DD781D">
            <w:pPr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0962B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</w:tr>
      <w:tr w:rsidR="00DD781D" w:rsidRPr="00DD781D" w14:paraId="047F4C2E" w14:textId="77777777" w:rsidTr="00DD781D">
        <w:trPr>
          <w:trHeight w:val="1110"/>
        </w:trPr>
        <w:tc>
          <w:tcPr>
            <w:tcW w:w="2764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BC2C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výtoková armatúra</w:t>
            </w:r>
          </w:p>
        </w:tc>
        <w:tc>
          <w:tcPr>
            <w:tcW w:w="302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B1D2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DN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3B815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špecifický výtok vody q (l/s)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DCFA3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počet n (ks)</w:t>
            </w: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76BD4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súčiniteľ súčasnosti odberu φ</w:t>
            </w: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4855B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 xml:space="preserve">požadovaný pretlak vody </w:t>
            </w:r>
            <w:proofErr w:type="spellStart"/>
            <w:r w:rsidRPr="00DD781D">
              <w:rPr>
                <w:rFonts w:cs="Arial"/>
              </w:rPr>
              <w:t>p</w:t>
            </w:r>
            <w:r w:rsidRPr="00DD781D">
              <w:rPr>
                <w:rFonts w:cs="Arial"/>
                <w:vertAlign w:val="subscript"/>
              </w:rPr>
              <w:t>req</w:t>
            </w:r>
            <w:proofErr w:type="spellEnd"/>
            <w:r w:rsidRPr="00DD781D">
              <w:rPr>
                <w:rFonts w:cs="Arial"/>
              </w:rPr>
              <w:t xml:space="preserve"> (</w:t>
            </w:r>
            <w:proofErr w:type="spellStart"/>
            <w:r w:rsidRPr="00DD781D">
              <w:rPr>
                <w:rFonts w:cs="Arial"/>
              </w:rPr>
              <w:t>Mpa</w:t>
            </w:r>
            <w:proofErr w:type="spellEnd"/>
            <w:r w:rsidRPr="00DD781D">
              <w:rPr>
                <w:rFonts w:cs="Arial"/>
              </w:rPr>
              <w:t>)</w:t>
            </w:r>
          </w:p>
        </w:tc>
        <w:tc>
          <w:tcPr>
            <w:tcW w:w="6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A0C154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φ</w:t>
            </w:r>
            <w:r w:rsidRPr="00DD781D">
              <w:rPr>
                <w:rFonts w:cs="Arial"/>
                <w:vertAlign w:val="subscript"/>
              </w:rPr>
              <w:t>i</w:t>
            </w:r>
            <w:r w:rsidRPr="00DD781D">
              <w:rPr>
                <w:rFonts w:cs="Arial"/>
              </w:rPr>
              <w:t>.q</w:t>
            </w:r>
            <w:r w:rsidRPr="00DD781D">
              <w:rPr>
                <w:rFonts w:cs="Arial"/>
                <w:vertAlign w:val="subscript"/>
              </w:rPr>
              <w:t>i</w:t>
            </w:r>
            <w:r w:rsidRPr="00DD781D">
              <w:rPr>
                <w:rFonts w:cs="Arial"/>
              </w:rPr>
              <w:t>.n</w:t>
            </w:r>
            <w:r w:rsidRPr="00DD781D">
              <w:rPr>
                <w:rFonts w:cs="Arial"/>
                <w:vertAlign w:val="subscript"/>
              </w:rPr>
              <w:t>i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3F68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5896636D" w14:textId="77777777" w:rsidTr="00DD781D">
        <w:trPr>
          <w:trHeight w:val="300"/>
        </w:trPr>
        <w:tc>
          <w:tcPr>
            <w:tcW w:w="27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A3A8F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výtokový ventil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C53C1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01F4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57DC61C6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C9FBC4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05BC7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0,05          0,1*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1CEE11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5AFC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1ACB32DB" w14:textId="77777777" w:rsidTr="00DD781D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713487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F8D00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522E4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4C561E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349E98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FED1B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7E638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7E22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7D32BAE2" w14:textId="77777777" w:rsidTr="00DD781D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AC2BF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DBBE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DF692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4D31F9B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7270525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426C1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F8EDB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8521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2F400827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387194" w14:textId="77777777" w:rsidR="00DD781D" w:rsidRPr="00DD781D" w:rsidRDefault="00DD781D" w:rsidP="00DD781D">
            <w:pPr>
              <w:rPr>
                <w:rFonts w:cs="Arial"/>
              </w:rPr>
            </w:pPr>
            <w:proofErr w:type="spellStart"/>
            <w:r w:rsidRPr="00DD781D">
              <w:rPr>
                <w:rFonts w:cs="Arial"/>
              </w:rPr>
              <w:t>bidetové</w:t>
            </w:r>
            <w:proofErr w:type="spellEnd"/>
            <w:r w:rsidRPr="00DD781D">
              <w:rPr>
                <w:rFonts w:cs="Arial"/>
              </w:rPr>
              <w:t xml:space="preserve"> súpravy a batérie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6A0FC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ED5841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755FB0B8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730B6D6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07A8F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1A82B6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553E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29075592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58E18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fontánka na pitie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904F7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302DD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125AFD67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7B814A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D72BB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759E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06F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64B1BA71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6A8BD9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nádržkový splachovač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3B416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088F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3B2039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F410F6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0,3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9A955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1E876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0,03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D4C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319F94AF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A6216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miešacia batéria vaňová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A1A21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3F36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1A2D359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536DE23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BEADD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DF16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3FE4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3E8506FC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17C6B4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miešacia batéria umývadlová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2ECC0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5B37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5D3639B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09A0F6B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0,8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4C5C7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C46F8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0,16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89BF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65EFC486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69D5BB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miešacia batéria sprchová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3914C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F698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5CDFC88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101C489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0,3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9C47D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93BE0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0,06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415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2FDF8403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532B70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miešacia batéria drezová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B62A9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8D114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4DD185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50FB1D31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BB000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BC99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6F2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18481375" w14:textId="77777777" w:rsidTr="00DD781D">
        <w:trPr>
          <w:trHeight w:val="300"/>
        </w:trPr>
        <w:tc>
          <w:tcPr>
            <w:tcW w:w="27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D83431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tlakový splachovač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7121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5EEC5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49D2DDB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CF4EE2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B60D52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DD756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EF56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238B5A24" w14:textId="77777777" w:rsidTr="00DD781D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F3018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4D239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81B5D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428D5F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DA6144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6447DF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627A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D06D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4C2C87C2" w14:textId="77777777" w:rsidTr="00DD781D">
        <w:trPr>
          <w:trHeight w:val="30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0DE53B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proofErr w:type="spellStart"/>
            <w:r w:rsidRPr="00DD781D">
              <w:rPr>
                <w:rFonts w:cs="Arial"/>
                <w:b/>
                <w:bCs/>
              </w:rPr>
              <w:t>Q</w:t>
            </w:r>
            <w:r w:rsidRPr="00DD781D">
              <w:rPr>
                <w:rFonts w:cs="Arial"/>
                <w:b/>
                <w:bCs/>
                <w:vertAlign w:val="subscript"/>
              </w:rPr>
              <w:t>d</w:t>
            </w:r>
            <w:proofErr w:type="spellEnd"/>
            <w:r w:rsidRPr="00DD781D">
              <w:rPr>
                <w:rFonts w:cs="Arial"/>
                <w:b/>
                <w:bCs/>
              </w:rPr>
              <w:t xml:space="preserve"> = ∑φ</w:t>
            </w:r>
            <w:r w:rsidRPr="00DD781D">
              <w:rPr>
                <w:rFonts w:cs="Arial"/>
                <w:b/>
                <w:bCs/>
                <w:vertAlign w:val="subscript"/>
              </w:rPr>
              <w:t>i</w:t>
            </w:r>
            <w:r w:rsidRPr="00DD781D">
              <w:rPr>
                <w:rFonts w:cs="Arial"/>
                <w:b/>
                <w:bCs/>
              </w:rPr>
              <w:t>.q</w:t>
            </w:r>
            <w:r w:rsidRPr="00DD781D">
              <w:rPr>
                <w:rFonts w:cs="Arial"/>
                <w:b/>
                <w:bCs/>
                <w:vertAlign w:val="subscript"/>
              </w:rPr>
              <w:t>i</w:t>
            </w:r>
            <w:r w:rsidRPr="00DD781D">
              <w:rPr>
                <w:rFonts w:cs="Arial"/>
                <w:b/>
                <w:bCs/>
              </w:rPr>
              <w:t>.n</w:t>
            </w:r>
            <w:r w:rsidRPr="00DD781D">
              <w:rPr>
                <w:rFonts w:cs="Arial"/>
                <w:b/>
                <w:bCs/>
                <w:vertAlign w:val="subscript"/>
              </w:rPr>
              <w:t>i</w:t>
            </w:r>
          </w:p>
        </w:tc>
        <w:tc>
          <w:tcPr>
            <w:tcW w:w="3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1FCD39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310AD72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1DAA88F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0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814DFD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799CD29" w14:textId="77777777" w:rsidR="00DD781D" w:rsidRPr="00DD781D" w:rsidRDefault="00DD781D" w:rsidP="00DD781D">
            <w:pPr>
              <w:jc w:val="right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∑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260671B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0,25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015A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l/s</w:t>
            </w:r>
          </w:p>
        </w:tc>
      </w:tr>
      <w:tr w:rsidR="00DD781D" w:rsidRPr="00DD781D" w14:paraId="5E1093C2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0FC42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PRIETOK POŽIARNEJ VODY</w:t>
            </w:r>
          </w:p>
        </w:tc>
        <w:tc>
          <w:tcPr>
            <w:tcW w:w="302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BA6791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C23D540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B90592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6175555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31668F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85D22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9AB61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</w:tr>
      <w:tr w:rsidR="00DD781D" w:rsidRPr="00DD781D" w14:paraId="72AF2115" w14:textId="77777777" w:rsidTr="00DD781D">
        <w:trPr>
          <w:trHeight w:val="1545"/>
        </w:trPr>
        <w:tc>
          <w:tcPr>
            <w:tcW w:w="276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016C7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výtoková armatúra</w:t>
            </w:r>
          </w:p>
        </w:tc>
        <w:tc>
          <w:tcPr>
            <w:tcW w:w="302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BF0A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DN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3BBFB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špecifický výtok vody q (l/s)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37686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počet n (ks)</w:t>
            </w:r>
          </w:p>
        </w:tc>
        <w:tc>
          <w:tcPr>
            <w:tcW w:w="108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AC76A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 xml:space="preserve">požadovaný pretlak vody </w:t>
            </w:r>
            <w:proofErr w:type="spellStart"/>
            <w:r w:rsidRPr="00DD781D">
              <w:rPr>
                <w:rFonts w:cs="Arial"/>
              </w:rPr>
              <w:t>p</w:t>
            </w:r>
            <w:r w:rsidRPr="00DD781D">
              <w:rPr>
                <w:rFonts w:cs="Arial"/>
                <w:vertAlign w:val="subscript"/>
              </w:rPr>
              <w:t>req</w:t>
            </w:r>
            <w:proofErr w:type="spellEnd"/>
            <w:r w:rsidRPr="00DD781D">
              <w:rPr>
                <w:rFonts w:cs="Arial"/>
              </w:rPr>
              <w:t xml:space="preserve"> (</w:t>
            </w:r>
            <w:proofErr w:type="spellStart"/>
            <w:r w:rsidRPr="00DD781D">
              <w:rPr>
                <w:rFonts w:cs="Arial"/>
              </w:rPr>
              <w:t>Mpa</w:t>
            </w:r>
            <w:proofErr w:type="spellEnd"/>
            <w:r w:rsidRPr="00DD781D">
              <w:rPr>
                <w:rFonts w:cs="Arial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751CD7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proofErr w:type="spellStart"/>
            <w:r w:rsidRPr="00DD781D">
              <w:rPr>
                <w:rFonts w:cs="Arial"/>
              </w:rPr>
              <w:t>q.n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7F4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5CFBB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</w:tr>
      <w:tr w:rsidR="00DD781D" w:rsidRPr="00DD781D" w14:paraId="5D29EE0C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950F0D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hadicový navijak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6F3944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F4D3D8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470061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A7A87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F65823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0031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2808A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</w:tr>
      <w:tr w:rsidR="00DD781D" w:rsidRPr="00DD781D" w14:paraId="6CC0B4C3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E19E1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požiarny hydrant</w:t>
            </w: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53863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50854E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14:paraId="7716EA4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7C4E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0,2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1B96A1F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8F470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649F8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</w:tr>
      <w:tr w:rsidR="00DD781D" w:rsidRPr="00DD781D" w14:paraId="2C372FFD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39ED7" w14:textId="77777777" w:rsidR="00DD781D" w:rsidRPr="00DD781D" w:rsidRDefault="00DD781D" w:rsidP="00DD781D">
            <w:pPr>
              <w:rPr>
                <w:rFonts w:cs="Arial"/>
              </w:rPr>
            </w:pPr>
            <w:proofErr w:type="spellStart"/>
            <w:r w:rsidRPr="00DD781D">
              <w:rPr>
                <w:rFonts w:cs="Arial"/>
              </w:rPr>
              <w:t>Qpož</w:t>
            </w:r>
            <w:proofErr w:type="spellEnd"/>
            <w:r w:rsidRPr="00DD781D">
              <w:rPr>
                <w:rFonts w:cs="Arial"/>
              </w:rPr>
              <w:t xml:space="preserve"> = </w:t>
            </w:r>
            <w:proofErr w:type="spellStart"/>
            <w:r w:rsidRPr="00DD781D">
              <w:rPr>
                <w:rFonts w:cs="Arial"/>
              </w:rPr>
              <w:t>q.n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7DA4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C6C1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ED392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772D0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B1C6943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EDEB2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l/s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224B5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6CF8757C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8B6AE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0CC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E06B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95692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ACF84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7E8CD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ABF0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FAFD0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</w:tr>
      <w:tr w:rsidR="00DD781D" w:rsidRPr="00DD781D" w14:paraId="0090C86F" w14:textId="77777777" w:rsidTr="00DD781D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FF55C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MAXIMÁLNY PRIETOK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47FB2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3AF20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221D5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8E5F5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proofErr w:type="spellStart"/>
            <w:r w:rsidRPr="00DD781D">
              <w:rPr>
                <w:rFonts w:cs="Arial"/>
                <w:b/>
                <w:bCs/>
              </w:rPr>
              <w:t>Q</w:t>
            </w:r>
            <w:r w:rsidRPr="00DD781D">
              <w:rPr>
                <w:rFonts w:cs="Arial"/>
                <w:b/>
                <w:bCs/>
                <w:vertAlign w:val="subscript"/>
              </w:rPr>
              <w:t>max</w:t>
            </w:r>
            <w:proofErr w:type="spellEnd"/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AAD255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0,25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3B0B1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l/s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E376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</w:tr>
      <w:tr w:rsidR="00DD781D" w:rsidRPr="00DD781D" w14:paraId="1560A729" w14:textId="77777777" w:rsidTr="00DD781D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0584" w14:textId="77777777" w:rsidR="00DD781D" w:rsidRPr="00DD781D" w:rsidRDefault="00DD781D" w:rsidP="00DD78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E85D3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D209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669B4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EE5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522E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A68A1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CD1FC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09937701" w14:textId="77777777" w:rsidTr="00DD781D">
        <w:trPr>
          <w:trHeight w:val="255"/>
        </w:trPr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997FA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NÁVRH VODOVODNEJ PRÍPOJKY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219E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E9565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62C38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B22BB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0373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55C9C6FC" w14:textId="77777777" w:rsidTr="00DD781D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070D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materiál potrubia prípojky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06594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16588F4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plast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3B63C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2E69C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5D2D1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55984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02A1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68132411" w14:textId="77777777" w:rsidTr="00DD781D">
        <w:trPr>
          <w:trHeight w:val="28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8BFC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 xml:space="preserve">rýchlosť prúdenia </w:t>
            </w:r>
            <w:proofErr w:type="spellStart"/>
            <w:r w:rsidRPr="00DD781D">
              <w:rPr>
                <w:rFonts w:cs="Arial"/>
                <w:b/>
                <w:bCs/>
              </w:rPr>
              <w:t>v</w:t>
            </w:r>
            <w:r w:rsidRPr="00DD781D">
              <w:rPr>
                <w:rFonts w:cs="Arial"/>
                <w:b/>
                <w:bCs/>
                <w:vertAlign w:val="subscript"/>
              </w:rPr>
              <w:t>d</w:t>
            </w:r>
            <w:proofErr w:type="spellEnd"/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259B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14:paraId="5E7563B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1,5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FCE28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m/s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4AA7A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CCAE9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11626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B90E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3EC98200" w14:textId="77777777" w:rsidTr="00DD781D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8FD2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377D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2AC33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E8B0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F585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CE87B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F9FA8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DC3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56BE8DE1" w14:textId="77777777" w:rsidTr="00DD781D">
        <w:trPr>
          <w:trHeight w:val="255"/>
        </w:trPr>
        <w:tc>
          <w:tcPr>
            <w:tcW w:w="41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D072D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vnútorný priemer vodovodnej prípojky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26A2" w14:textId="77777777" w:rsidR="00DD781D" w:rsidRPr="00DD781D" w:rsidRDefault="00DD781D" w:rsidP="00DD781D">
            <w:pPr>
              <w:rPr>
                <w:rFonts w:cs="Arial"/>
                <w:b/>
                <w:bCs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BF429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2A48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D4DD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90C03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1F4AC944" w14:textId="77777777" w:rsidTr="00DD781D">
        <w:trPr>
          <w:trHeight w:val="31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D2D1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d = √(4.Q</w:t>
            </w:r>
            <w:r w:rsidRPr="00DD781D">
              <w:rPr>
                <w:rFonts w:cs="Arial"/>
                <w:vertAlign w:val="subscript"/>
              </w:rPr>
              <w:t>max</w:t>
            </w:r>
            <w:r w:rsidRPr="00DD781D">
              <w:rPr>
                <w:rFonts w:cs="Arial"/>
              </w:rPr>
              <w:t>)/(π.</w:t>
            </w:r>
            <w:proofErr w:type="spellStart"/>
            <w:r w:rsidRPr="00DD781D">
              <w:rPr>
                <w:rFonts w:cs="Arial"/>
              </w:rPr>
              <w:t>v</w:t>
            </w:r>
            <w:r w:rsidRPr="00DD781D">
              <w:rPr>
                <w:rFonts w:cs="Arial"/>
                <w:vertAlign w:val="subscript"/>
              </w:rPr>
              <w:t>d</w:t>
            </w:r>
            <w:proofErr w:type="spellEnd"/>
            <w:r w:rsidRPr="00DD781D">
              <w:rPr>
                <w:rFonts w:cs="Arial"/>
              </w:rPr>
              <w:t>)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59336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6D5F0D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</w:rPr>
            </w:pPr>
            <w:r w:rsidRPr="00DD781D">
              <w:rPr>
                <w:rFonts w:cs="Arial"/>
                <w:b/>
                <w:bCs/>
              </w:rPr>
              <w:t>0,015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446CC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  <w:r w:rsidRPr="00DD781D">
              <w:rPr>
                <w:rFonts w:cs="Arial"/>
              </w:rPr>
              <w:t>m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CC81D" w14:textId="77777777" w:rsidR="00DD781D" w:rsidRPr="00DD781D" w:rsidRDefault="00DD781D" w:rsidP="00DD781D">
            <w:pPr>
              <w:jc w:val="center"/>
              <w:rPr>
                <w:rFonts w:cs="Arial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5EFB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AA1B1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9C51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220D12F7" w14:textId="77777777" w:rsidTr="00DD781D">
        <w:trPr>
          <w:trHeight w:val="43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7FB3D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 xml:space="preserve">materiál </w:t>
            </w: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1C38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2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47A4" w14:textId="77777777" w:rsidR="00DD781D" w:rsidRPr="00DD781D" w:rsidRDefault="00DD781D" w:rsidP="00DD781D">
            <w:pPr>
              <w:rPr>
                <w:rFonts w:cs="Arial"/>
              </w:rPr>
            </w:pPr>
            <w:r w:rsidRPr="00DD781D">
              <w:rPr>
                <w:rFonts w:cs="Arial"/>
              </w:rPr>
              <w:t>HDPE PE100 SDR11 PN16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3A5D" w14:textId="77777777" w:rsidR="00DD781D" w:rsidRPr="00DD781D" w:rsidRDefault="00DD781D" w:rsidP="00DD781D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EF2F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5990A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  <w:tr w:rsidR="00DD781D" w:rsidRPr="00DD781D" w14:paraId="01128A59" w14:textId="77777777" w:rsidTr="00DD781D">
        <w:trPr>
          <w:trHeight w:val="330"/>
        </w:trPr>
        <w:tc>
          <w:tcPr>
            <w:tcW w:w="30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D4ACB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D781D">
              <w:rPr>
                <w:rFonts w:cs="Arial"/>
                <w:b/>
                <w:bCs/>
                <w:sz w:val="24"/>
                <w:szCs w:val="24"/>
              </w:rPr>
              <w:t>Navrhovaná je DN prípojky</w:t>
            </w:r>
          </w:p>
        </w:tc>
        <w:tc>
          <w:tcPr>
            <w:tcW w:w="17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4B4F60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D781D">
              <w:rPr>
                <w:rFonts w:cs="Arial"/>
                <w:b/>
                <w:bCs/>
                <w:sz w:val="24"/>
                <w:szCs w:val="24"/>
              </w:rPr>
              <w:t>D32*2,9 (DN25)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0D27D" w14:textId="77777777" w:rsidR="00DD781D" w:rsidRPr="00DD781D" w:rsidRDefault="00DD781D" w:rsidP="00DD781D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80397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E8D32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BB319" w14:textId="77777777" w:rsidR="00DD781D" w:rsidRPr="00DD781D" w:rsidRDefault="00DD781D" w:rsidP="00DD781D">
            <w:pPr>
              <w:rPr>
                <w:rFonts w:ascii="Times New Roman" w:hAnsi="Times New Roman"/>
              </w:rPr>
            </w:pPr>
          </w:p>
        </w:tc>
      </w:tr>
    </w:tbl>
    <w:p w14:paraId="351DA124" w14:textId="77777777" w:rsidR="007329C1" w:rsidRDefault="007329C1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65720625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7DAA20F1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699C7134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40A6290B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1A9647F8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32B549D4" w14:textId="77777777" w:rsidR="00DD781D" w:rsidRDefault="00DD781D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4846798C" w14:textId="1253C4E5" w:rsidR="001D33AF" w:rsidRDefault="007329C1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Navrhovaná rekonštrukcia</w:t>
      </w:r>
    </w:p>
    <w:tbl>
      <w:tblPr>
        <w:tblW w:w="85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429"/>
        <w:gridCol w:w="1080"/>
        <w:gridCol w:w="704"/>
        <w:gridCol w:w="1219"/>
        <w:gridCol w:w="1219"/>
        <w:gridCol w:w="696"/>
        <w:gridCol w:w="476"/>
      </w:tblGrid>
      <w:tr w:rsidR="00DB34C4" w:rsidRPr="00DB34C4" w14:paraId="2EC2D2F7" w14:textId="77777777" w:rsidTr="00F858BB">
        <w:trPr>
          <w:trHeight w:val="255"/>
        </w:trPr>
        <w:tc>
          <w:tcPr>
            <w:tcW w:w="3193" w:type="dxa"/>
            <w:gridSpan w:val="2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02CB9E5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VÝPOČTOVÝ PRIETOK PODĽA STN 736655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42AD5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  <w:tc>
          <w:tcPr>
            <w:tcW w:w="3838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24C0067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  <w:r w:rsidRPr="00DB34C4">
              <w:rPr>
                <w:rFonts w:cs="Arial"/>
                <w:b/>
                <w:bCs/>
                <w:sz w:val="32"/>
                <w:szCs w:val="32"/>
              </w:rPr>
              <w:t>Dom smútku v Rači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83B2B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  <w:sz w:val="32"/>
                <w:szCs w:val="32"/>
              </w:rPr>
            </w:pPr>
          </w:p>
        </w:tc>
      </w:tr>
      <w:tr w:rsidR="00DB34C4" w:rsidRPr="00DB34C4" w14:paraId="58D72AF3" w14:textId="77777777" w:rsidTr="00F858BB">
        <w:trPr>
          <w:trHeight w:val="270"/>
        </w:trPr>
        <w:tc>
          <w:tcPr>
            <w:tcW w:w="3193" w:type="dxa"/>
            <w:gridSpan w:val="2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03240841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85D53C6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 </w:t>
            </w:r>
          </w:p>
        </w:tc>
        <w:tc>
          <w:tcPr>
            <w:tcW w:w="3838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4F638236" w14:textId="77777777" w:rsidR="00DB34C4" w:rsidRPr="00DB34C4" w:rsidRDefault="00DB34C4" w:rsidP="00DB34C4">
            <w:pPr>
              <w:rPr>
                <w:rFonts w:cs="Arial"/>
                <w:b/>
                <w:bCs/>
                <w:sz w:val="32"/>
                <w:szCs w:val="32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733B3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</w:tr>
      <w:tr w:rsidR="00DB34C4" w:rsidRPr="00DB34C4" w14:paraId="39DC6B80" w14:textId="77777777" w:rsidTr="00F858BB">
        <w:trPr>
          <w:trHeight w:val="1110"/>
        </w:trPr>
        <w:tc>
          <w:tcPr>
            <w:tcW w:w="2764" w:type="dxa"/>
            <w:tcBorders>
              <w:top w:val="nil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1978CB6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výtoková armatúra</w:t>
            </w:r>
          </w:p>
        </w:tc>
        <w:tc>
          <w:tcPr>
            <w:tcW w:w="42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DFDF33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DN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6766C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špecifický výtok vody q (l/s)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DFDC0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počet n (ks)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08E7AA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súčiniteľ súčasnosti odberu φ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AC268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 xml:space="preserve">požadovaný pretlak vody </w:t>
            </w:r>
            <w:proofErr w:type="spellStart"/>
            <w:r w:rsidRPr="00DB34C4">
              <w:rPr>
                <w:rFonts w:cs="Arial"/>
              </w:rPr>
              <w:t>p</w:t>
            </w:r>
            <w:r w:rsidRPr="00DB34C4">
              <w:rPr>
                <w:rFonts w:cs="Arial"/>
                <w:vertAlign w:val="subscript"/>
              </w:rPr>
              <w:t>req</w:t>
            </w:r>
            <w:proofErr w:type="spellEnd"/>
            <w:r w:rsidRPr="00DB34C4">
              <w:rPr>
                <w:rFonts w:cs="Arial"/>
              </w:rPr>
              <w:t xml:space="preserve"> (</w:t>
            </w:r>
            <w:proofErr w:type="spellStart"/>
            <w:r w:rsidRPr="00DB34C4">
              <w:rPr>
                <w:rFonts w:cs="Arial"/>
              </w:rPr>
              <w:t>Mpa</w:t>
            </w:r>
            <w:proofErr w:type="spellEnd"/>
            <w:r w:rsidRPr="00DB34C4">
              <w:rPr>
                <w:rFonts w:cs="Arial"/>
              </w:rPr>
              <w:t>)</w:t>
            </w:r>
          </w:p>
        </w:tc>
        <w:tc>
          <w:tcPr>
            <w:tcW w:w="696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254F8EC5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φ</w:t>
            </w:r>
            <w:r w:rsidRPr="00DB34C4">
              <w:rPr>
                <w:rFonts w:cs="Arial"/>
                <w:vertAlign w:val="subscript"/>
              </w:rPr>
              <w:t>i</w:t>
            </w:r>
            <w:r w:rsidRPr="00DB34C4">
              <w:rPr>
                <w:rFonts w:cs="Arial"/>
              </w:rPr>
              <w:t>.q</w:t>
            </w:r>
            <w:r w:rsidRPr="00DB34C4">
              <w:rPr>
                <w:rFonts w:cs="Arial"/>
                <w:vertAlign w:val="subscript"/>
              </w:rPr>
              <w:t>i</w:t>
            </w:r>
            <w:r w:rsidRPr="00DB34C4">
              <w:rPr>
                <w:rFonts w:cs="Arial"/>
              </w:rPr>
              <w:t>.n</w:t>
            </w:r>
            <w:r w:rsidRPr="00DB34C4">
              <w:rPr>
                <w:rFonts w:cs="Arial"/>
                <w:vertAlign w:val="subscript"/>
              </w:rPr>
              <w:t>i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4E119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5F7F57A0" w14:textId="77777777" w:rsidTr="00F858BB">
        <w:trPr>
          <w:trHeight w:val="300"/>
        </w:trPr>
        <w:tc>
          <w:tcPr>
            <w:tcW w:w="27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14EB3C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výtokový ventil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13F8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3FED80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F8702D8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0984ECE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819BAF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0,05          0,1*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E57C6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A208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0873AF9F" w14:textId="77777777" w:rsidTr="00F858BB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517AE1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E3D6D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B5CC6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0B702EA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9BB0B05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A2A1CC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5E6E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8E77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622A4A2F" w14:textId="77777777" w:rsidTr="00F858BB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252ADF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EA8B20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E8037F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8DAF3C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2C8206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908901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4C6E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4A9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16514126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6CEA48" w14:textId="77777777" w:rsidR="00DB34C4" w:rsidRPr="00DB34C4" w:rsidRDefault="00DB34C4" w:rsidP="00DB34C4">
            <w:pPr>
              <w:rPr>
                <w:rFonts w:cs="Arial"/>
              </w:rPr>
            </w:pPr>
            <w:proofErr w:type="spellStart"/>
            <w:r w:rsidRPr="00DB34C4">
              <w:rPr>
                <w:rFonts w:cs="Arial"/>
              </w:rPr>
              <w:t>bidetové</w:t>
            </w:r>
            <w:proofErr w:type="spellEnd"/>
            <w:r w:rsidRPr="00DB34C4">
              <w:rPr>
                <w:rFonts w:cs="Arial"/>
              </w:rPr>
              <w:t xml:space="preserve"> súpravy a batérie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493A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80B8F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0A45CDF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2FACFC6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01B95E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12E3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65FA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7E3EC16A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D055A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fontánka na pitie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3308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6974E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7B75F5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0D0A19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4A8D4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D879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84729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21E8A7E0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8EF153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nádržkový splachovač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CD3B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225A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8CAAD1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526015A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0,3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B18D5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647E9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0,09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85CB0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0A118C50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7D1157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miešacia batéria vaňová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F360F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99B63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7F1255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9334D8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13D35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5F0F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953D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3A898B92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0978D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miešacia batéria umývadlová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2E8C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A9952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DCBD81A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02E3C9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0,8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D7D403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D386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0,48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966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426A6347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BC2DE4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miešacia batéria sprchová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39531A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35ED0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04D3048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E627B5A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2F547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28668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482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63C43EAD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F637A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miešacia batéria drezová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7FA2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54011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FBB545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09F0D7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D40D68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328B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D0D4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4A15AD47" w14:textId="77777777" w:rsidTr="00F858BB">
        <w:trPr>
          <w:trHeight w:val="300"/>
        </w:trPr>
        <w:tc>
          <w:tcPr>
            <w:tcW w:w="276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A56EC7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tlakový splachovač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7B2C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1E76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106A72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6747ED2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626E9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38E31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C62C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04135972" w14:textId="77777777" w:rsidTr="00F858BB">
        <w:trPr>
          <w:trHeight w:val="300"/>
        </w:trPr>
        <w:tc>
          <w:tcPr>
            <w:tcW w:w="276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A55FD9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AE69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4E0C9F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1,2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464705B4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2DB2B158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B4A4679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7E711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5C3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4BC9919C" w14:textId="77777777" w:rsidTr="00F858BB">
        <w:trPr>
          <w:trHeight w:val="30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55B1040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proofErr w:type="spellStart"/>
            <w:r w:rsidRPr="00DB34C4">
              <w:rPr>
                <w:rFonts w:cs="Arial"/>
                <w:b/>
                <w:bCs/>
              </w:rPr>
              <w:t>Q</w:t>
            </w:r>
            <w:r w:rsidRPr="00DB34C4">
              <w:rPr>
                <w:rFonts w:cs="Arial"/>
                <w:b/>
                <w:bCs/>
                <w:vertAlign w:val="subscript"/>
              </w:rPr>
              <w:t>d</w:t>
            </w:r>
            <w:proofErr w:type="spellEnd"/>
            <w:r w:rsidRPr="00DB34C4">
              <w:rPr>
                <w:rFonts w:cs="Arial"/>
                <w:b/>
                <w:bCs/>
              </w:rPr>
              <w:t xml:space="preserve"> = ∑φ</w:t>
            </w:r>
            <w:r w:rsidRPr="00DB34C4">
              <w:rPr>
                <w:rFonts w:cs="Arial"/>
                <w:b/>
                <w:bCs/>
                <w:vertAlign w:val="subscript"/>
              </w:rPr>
              <w:t>i</w:t>
            </w:r>
            <w:r w:rsidRPr="00DB34C4">
              <w:rPr>
                <w:rFonts w:cs="Arial"/>
                <w:b/>
                <w:bCs/>
              </w:rPr>
              <w:t>.q</w:t>
            </w:r>
            <w:r w:rsidRPr="00DB34C4">
              <w:rPr>
                <w:rFonts w:cs="Arial"/>
                <w:b/>
                <w:bCs/>
                <w:vertAlign w:val="subscript"/>
              </w:rPr>
              <w:t>i</w:t>
            </w:r>
            <w:r w:rsidRPr="00DB34C4">
              <w:rPr>
                <w:rFonts w:cs="Arial"/>
                <w:b/>
                <w:bCs/>
              </w:rPr>
              <w:t>.n</w:t>
            </w:r>
            <w:r w:rsidRPr="00DB34C4">
              <w:rPr>
                <w:rFonts w:cs="Arial"/>
                <w:b/>
                <w:bCs/>
                <w:vertAlign w:val="subscript"/>
              </w:rPr>
              <w:t>i</w:t>
            </w:r>
          </w:p>
        </w:tc>
        <w:tc>
          <w:tcPr>
            <w:tcW w:w="4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18B5D0A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A7D10CB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7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AF9EC26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E554AE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8EE801D" w14:textId="77777777" w:rsidR="00DB34C4" w:rsidRPr="00DB34C4" w:rsidRDefault="00DB34C4" w:rsidP="00DB34C4">
            <w:pPr>
              <w:jc w:val="right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∑</w:t>
            </w:r>
          </w:p>
        </w:tc>
        <w:tc>
          <w:tcPr>
            <w:tcW w:w="6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0B59766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0,57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E0D1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l/s</w:t>
            </w:r>
          </w:p>
        </w:tc>
      </w:tr>
      <w:tr w:rsidR="00DB34C4" w:rsidRPr="00DB34C4" w14:paraId="4A0620C0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3EE7C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PRIETOK POŽIARNEJ VODY</w:t>
            </w:r>
          </w:p>
        </w:tc>
        <w:tc>
          <w:tcPr>
            <w:tcW w:w="42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940B23C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2028190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5313C04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CD842F6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F8DCB94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7E268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6A26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</w:tr>
      <w:tr w:rsidR="00DB34C4" w:rsidRPr="00DB34C4" w14:paraId="31F78358" w14:textId="77777777" w:rsidTr="00F858BB">
        <w:trPr>
          <w:trHeight w:val="1545"/>
        </w:trPr>
        <w:tc>
          <w:tcPr>
            <w:tcW w:w="2764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2343A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výtoková armatúra</w:t>
            </w:r>
          </w:p>
        </w:tc>
        <w:tc>
          <w:tcPr>
            <w:tcW w:w="42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E68E8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DN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F74B8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špecifický výtok vody q (l/s)</w:t>
            </w:r>
          </w:p>
        </w:tc>
        <w:tc>
          <w:tcPr>
            <w:tcW w:w="704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195C80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počet n (ks)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E67E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 xml:space="preserve">požadovaný pretlak vody </w:t>
            </w:r>
            <w:proofErr w:type="spellStart"/>
            <w:r w:rsidRPr="00DB34C4">
              <w:rPr>
                <w:rFonts w:cs="Arial"/>
              </w:rPr>
              <w:t>p</w:t>
            </w:r>
            <w:r w:rsidRPr="00DB34C4">
              <w:rPr>
                <w:rFonts w:cs="Arial"/>
                <w:vertAlign w:val="subscript"/>
              </w:rPr>
              <w:t>req</w:t>
            </w:r>
            <w:proofErr w:type="spellEnd"/>
            <w:r w:rsidRPr="00DB34C4">
              <w:rPr>
                <w:rFonts w:cs="Arial"/>
              </w:rPr>
              <w:t xml:space="preserve"> (</w:t>
            </w:r>
            <w:proofErr w:type="spellStart"/>
            <w:r w:rsidRPr="00DB34C4">
              <w:rPr>
                <w:rFonts w:cs="Arial"/>
              </w:rPr>
              <w:t>Mpa</w:t>
            </w:r>
            <w:proofErr w:type="spellEnd"/>
            <w:r w:rsidRPr="00DB34C4">
              <w:rPr>
                <w:rFonts w:cs="Arial"/>
              </w:rPr>
              <w:t>)</w:t>
            </w:r>
          </w:p>
        </w:tc>
        <w:tc>
          <w:tcPr>
            <w:tcW w:w="1219" w:type="dxa"/>
            <w:tcBorders>
              <w:top w:val="nil"/>
              <w:left w:val="nil"/>
              <w:bottom w:val="double" w:sz="6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14:paraId="7DE4D4B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proofErr w:type="spellStart"/>
            <w:r w:rsidRPr="00DB34C4">
              <w:rPr>
                <w:rFonts w:cs="Arial"/>
              </w:rPr>
              <w:t>q.n</w:t>
            </w:r>
            <w:proofErr w:type="spellEnd"/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27655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277B8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</w:tr>
      <w:tr w:rsidR="00DB34C4" w:rsidRPr="00DB34C4" w14:paraId="1878D834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7694F7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hadicový navijak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3DCB4F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AD47A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1,0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bottom"/>
            <w:hideMark/>
          </w:tcPr>
          <w:p w14:paraId="36A3979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C0B79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50E598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4BA62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F03FE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</w:tr>
      <w:tr w:rsidR="00DB34C4" w:rsidRPr="00DB34C4" w14:paraId="5126BC6A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0B0DD1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požiarny hydrant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1DFD58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78CDA89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3,3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99"/>
            <w:noWrap/>
            <w:vAlign w:val="center"/>
            <w:hideMark/>
          </w:tcPr>
          <w:p w14:paraId="11A86AC7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4FFD5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0,2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A72FF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3F23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E14F5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</w:tr>
      <w:tr w:rsidR="00DB34C4" w:rsidRPr="00DB34C4" w14:paraId="11D61F3D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71E4D" w14:textId="77777777" w:rsidR="00DB34C4" w:rsidRPr="00DB34C4" w:rsidRDefault="00DB34C4" w:rsidP="00DB34C4">
            <w:pPr>
              <w:rPr>
                <w:rFonts w:cs="Arial"/>
              </w:rPr>
            </w:pPr>
            <w:proofErr w:type="spellStart"/>
            <w:r w:rsidRPr="00DB34C4">
              <w:rPr>
                <w:rFonts w:cs="Arial"/>
              </w:rPr>
              <w:t>Qpož</w:t>
            </w:r>
            <w:proofErr w:type="spellEnd"/>
            <w:r w:rsidRPr="00DB34C4">
              <w:rPr>
                <w:rFonts w:cs="Arial"/>
              </w:rPr>
              <w:t xml:space="preserve"> = </w:t>
            </w:r>
            <w:proofErr w:type="spellStart"/>
            <w:r w:rsidRPr="00DB34C4">
              <w:rPr>
                <w:rFonts w:cs="Arial"/>
              </w:rPr>
              <w:t>q.n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24A1C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201B8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8B8BF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6D7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589EFD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81631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l/s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D83E2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1BACC0C6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274C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57B07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DB560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40B0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D022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57D1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CEC44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0D1C7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</w:tr>
      <w:tr w:rsidR="00DB34C4" w:rsidRPr="00DB34C4" w14:paraId="4578D1C5" w14:textId="77777777" w:rsidTr="00F858BB">
        <w:trPr>
          <w:trHeight w:val="300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1A9C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MAXIMÁLNY PRIETOK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5B2BB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68487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70BA8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6F2FE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proofErr w:type="spellStart"/>
            <w:r w:rsidRPr="00DB34C4">
              <w:rPr>
                <w:rFonts w:cs="Arial"/>
                <w:b/>
                <w:bCs/>
              </w:rPr>
              <w:t>Q</w:t>
            </w:r>
            <w:r w:rsidRPr="00DB34C4">
              <w:rPr>
                <w:rFonts w:cs="Arial"/>
                <w:b/>
                <w:bCs/>
                <w:vertAlign w:val="subscript"/>
              </w:rPr>
              <w:t>max</w:t>
            </w:r>
            <w:proofErr w:type="spellEnd"/>
          </w:p>
        </w:tc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A4AE47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0,57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E8F85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l/s</w:t>
            </w: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49DDC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</w:tr>
      <w:tr w:rsidR="00DB34C4" w:rsidRPr="00DB34C4" w14:paraId="6F304B53" w14:textId="77777777" w:rsidTr="00F858BB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45788" w14:textId="77777777" w:rsidR="00DB34C4" w:rsidRPr="00DB34C4" w:rsidRDefault="00DB34C4" w:rsidP="00DB34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E035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C4F5C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4ADF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E2DAB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ADF1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DA416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D04F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056DD978" w14:textId="77777777" w:rsidTr="00F858BB">
        <w:trPr>
          <w:trHeight w:val="255"/>
        </w:trPr>
        <w:tc>
          <w:tcPr>
            <w:tcW w:w="4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6AD2F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NÁVRH VODOVODNEJ PRÍPOJKY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EABA2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B2B3C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67E48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FB2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93AB5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39D7F8E8" w14:textId="77777777" w:rsidTr="00F858BB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C8E68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materiál potrubia prípojky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0265D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A3C9DEA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plast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31BF0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7876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14281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10E2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9C0D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694F3AEF" w14:textId="77777777" w:rsidTr="00F858BB">
        <w:trPr>
          <w:trHeight w:val="28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BF57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 xml:space="preserve">rýchlosť prúdenia </w:t>
            </w:r>
            <w:proofErr w:type="spellStart"/>
            <w:r w:rsidRPr="00DB34C4">
              <w:rPr>
                <w:rFonts w:cs="Arial"/>
                <w:b/>
                <w:bCs/>
              </w:rPr>
              <w:t>v</w:t>
            </w:r>
            <w:r w:rsidRPr="00DB34C4">
              <w:rPr>
                <w:rFonts w:cs="Arial"/>
                <w:b/>
                <w:bCs/>
                <w:vertAlign w:val="subscript"/>
              </w:rPr>
              <w:t>d</w:t>
            </w:r>
            <w:proofErr w:type="spellEnd"/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D307D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99"/>
            <w:noWrap/>
            <w:vAlign w:val="center"/>
            <w:hideMark/>
          </w:tcPr>
          <w:p w14:paraId="2A9A1AFB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1,5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9D47D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m/s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C04A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29A8A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FA12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673A4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3475F249" w14:textId="77777777" w:rsidTr="00F858BB">
        <w:trPr>
          <w:trHeight w:val="25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D34B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B060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1B55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E5829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CCEC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A6422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0437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A1C20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35A4B1A4" w14:textId="77777777" w:rsidTr="00F858BB">
        <w:trPr>
          <w:trHeight w:val="255"/>
        </w:trPr>
        <w:tc>
          <w:tcPr>
            <w:tcW w:w="4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9B56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vnútorný priemer vodovodnej prípojky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FEA4A" w14:textId="77777777" w:rsidR="00DB34C4" w:rsidRPr="00DB34C4" w:rsidRDefault="00DB34C4" w:rsidP="00DB34C4">
            <w:pPr>
              <w:rPr>
                <w:rFonts w:cs="Arial"/>
                <w:b/>
                <w:bCs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EDA1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7FDAC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B948F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336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4FBAD966" w14:textId="77777777" w:rsidTr="00F858BB">
        <w:trPr>
          <w:trHeight w:val="31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FC0A4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d = √(4.Q</w:t>
            </w:r>
            <w:r w:rsidRPr="00DB34C4">
              <w:rPr>
                <w:rFonts w:cs="Arial"/>
                <w:vertAlign w:val="subscript"/>
              </w:rPr>
              <w:t>max</w:t>
            </w:r>
            <w:r w:rsidRPr="00DB34C4">
              <w:rPr>
                <w:rFonts w:cs="Arial"/>
              </w:rPr>
              <w:t>)/(π.</w:t>
            </w:r>
            <w:proofErr w:type="spellStart"/>
            <w:r w:rsidRPr="00DB34C4">
              <w:rPr>
                <w:rFonts w:cs="Arial"/>
              </w:rPr>
              <w:t>v</w:t>
            </w:r>
            <w:r w:rsidRPr="00DB34C4">
              <w:rPr>
                <w:rFonts w:cs="Arial"/>
                <w:vertAlign w:val="subscript"/>
              </w:rPr>
              <w:t>d</w:t>
            </w:r>
            <w:proofErr w:type="spellEnd"/>
            <w:r w:rsidRPr="00DB34C4">
              <w:rPr>
                <w:rFonts w:cs="Arial"/>
              </w:rPr>
              <w:t>)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E01CF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283ECF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</w:rPr>
            </w:pPr>
            <w:r w:rsidRPr="00DB34C4">
              <w:rPr>
                <w:rFonts w:cs="Arial"/>
                <w:b/>
                <w:bCs/>
              </w:rPr>
              <w:t>0,022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E7886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  <w:r w:rsidRPr="00DB34C4">
              <w:rPr>
                <w:rFonts w:cs="Arial"/>
              </w:rPr>
              <w:t>m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60AE" w14:textId="77777777" w:rsidR="00DB34C4" w:rsidRPr="00DB34C4" w:rsidRDefault="00DB34C4" w:rsidP="00DB34C4">
            <w:pPr>
              <w:jc w:val="center"/>
              <w:rPr>
                <w:rFonts w:cs="Arial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CF4D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47983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68DC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20838884" w14:textId="77777777" w:rsidTr="00F858BB">
        <w:trPr>
          <w:trHeight w:val="435"/>
        </w:trPr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F56C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 xml:space="preserve">materiál </w:t>
            </w: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0222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3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9A49" w14:textId="77777777" w:rsidR="00DB34C4" w:rsidRPr="00DB34C4" w:rsidRDefault="00DB34C4" w:rsidP="00DB34C4">
            <w:pPr>
              <w:rPr>
                <w:rFonts w:cs="Arial"/>
              </w:rPr>
            </w:pPr>
            <w:r w:rsidRPr="00DB34C4">
              <w:rPr>
                <w:rFonts w:cs="Arial"/>
              </w:rPr>
              <w:t>HDPE PE100 SDR11 PN16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FA462" w14:textId="77777777" w:rsidR="00DB34C4" w:rsidRPr="00DB34C4" w:rsidRDefault="00DB34C4" w:rsidP="00DB34C4">
            <w:pPr>
              <w:rPr>
                <w:rFonts w:cs="Arial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2107B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F0018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  <w:tr w:rsidR="00DB34C4" w:rsidRPr="00DB34C4" w14:paraId="39C54D58" w14:textId="77777777" w:rsidTr="00F858BB">
        <w:trPr>
          <w:trHeight w:val="330"/>
        </w:trPr>
        <w:tc>
          <w:tcPr>
            <w:tcW w:w="31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E3BA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B34C4">
              <w:rPr>
                <w:rFonts w:cs="Arial"/>
                <w:b/>
                <w:bCs/>
                <w:sz w:val="24"/>
                <w:szCs w:val="24"/>
              </w:rPr>
              <w:t>Navrhovaná je DN prípojky</w:t>
            </w:r>
          </w:p>
        </w:tc>
        <w:tc>
          <w:tcPr>
            <w:tcW w:w="17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2E5441D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B34C4">
              <w:rPr>
                <w:rFonts w:cs="Arial"/>
                <w:b/>
                <w:bCs/>
                <w:sz w:val="24"/>
                <w:szCs w:val="24"/>
              </w:rPr>
              <w:t>D32*2,9 (DN25)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2FBF5" w14:textId="77777777" w:rsidR="00DB34C4" w:rsidRPr="00DB34C4" w:rsidRDefault="00DB34C4" w:rsidP="00DB34C4">
            <w:pPr>
              <w:jc w:val="center"/>
              <w:rPr>
                <w:rFonts w:cs="Arial"/>
                <w:b/>
                <w:bCs/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89D4E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76EC2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0F5E0" w14:textId="77777777" w:rsidR="00DB34C4" w:rsidRPr="00DB34C4" w:rsidRDefault="00DB34C4" w:rsidP="00DB34C4">
            <w:pPr>
              <w:rPr>
                <w:rFonts w:ascii="Times New Roman" w:hAnsi="Times New Roman"/>
              </w:rPr>
            </w:pPr>
          </w:p>
        </w:tc>
      </w:tr>
    </w:tbl>
    <w:p w14:paraId="1653C097" w14:textId="77777777" w:rsidR="00331070" w:rsidRPr="001E700C" w:rsidRDefault="00331070" w:rsidP="00BA45C8">
      <w:pPr>
        <w:pStyle w:val="Text"/>
        <w:ind w:firstLine="0"/>
        <w:rPr>
          <w:rFonts w:ascii="Arial" w:hAnsi="Arial" w:cs="Arial"/>
          <w:b/>
          <w:sz w:val="20"/>
          <w:szCs w:val="20"/>
        </w:rPr>
      </w:pPr>
    </w:p>
    <w:p w14:paraId="152D2A00" w14:textId="3B6325A1" w:rsidR="005F4292" w:rsidRPr="000F501A" w:rsidRDefault="00993536" w:rsidP="005F4292">
      <w:pPr>
        <w:pStyle w:val="Nadpis1"/>
      </w:pPr>
      <w:bookmarkStart w:id="23" w:name="_Toc109590091"/>
      <w:r>
        <w:t>Vnútorný rozvod vody</w:t>
      </w:r>
      <w:bookmarkEnd w:id="23"/>
    </w:p>
    <w:p w14:paraId="6A1C5672" w14:textId="3235C3A0" w:rsidR="00B45676" w:rsidRDefault="00D96735" w:rsidP="00130F46">
      <w:pPr>
        <w:jc w:val="both"/>
        <w:rPr>
          <w:rFonts w:cs="Arial"/>
        </w:rPr>
      </w:pPr>
      <w:r>
        <w:rPr>
          <w:rFonts w:cs="Arial"/>
        </w:rPr>
        <w:t>Prívod vody do domu smútku ostáva pôvodný do priestoru zázemia.</w:t>
      </w:r>
      <w:r w:rsidR="00065861">
        <w:rPr>
          <w:rFonts w:cs="Arial"/>
        </w:rPr>
        <w:t xml:space="preserve"> Aktuálne je potrubie vyvedené pod strop na 1.NP. Navrhovaná zmena je</w:t>
      </w:r>
      <w:r w:rsidR="00855F23">
        <w:rPr>
          <w:rFonts w:cs="Arial"/>
        </w:rPr>
        <w:t xml:space="preserve">, že </w:t>
      </w:r>
      <w:r w:rsidR="00205EE8">
        <w:rPr>
          <w:rFonts w:cs="Arial"/>
        </w:rPr>
        <w:t xml:space="preserve">stúpacie </w:t>
      </w:r>
      <w:r w:rsidR="00855F23">
        <w:rPr>
          <w:rFonts w:cs="Arial"/>
        </w:rPr>
        <w:t>potrubie</w:t>
      </w:r>
      <w:r w:rsidR="00F858BB">
        <w:rPr>
          <w:rFonts w:cs="Arial"/>
        </w:rPr>
        <w:t xml:space="preserve"> V1</w:t>
      </w:r>
      <w:r w:rsidR="00855F23">
        <w:rPr>
          <w:rFonts w:cs="Arial"/>
        </w:rPr>
        <w:t xml:space="preserve"> bude pretrasované už v podlahe až do WC  pre zamestnanco</w:t>
      </w:r>
      <w:r w:rsidR="0064030A">
        <w:rPr>
          <w:rFonts w:cs="Arial"/>
        </w:rPr>
        <w:t xml:space="preserve">v, </w:t>
      </w:r>
      <w:r w:rsidR="00C0100F">
        <w:rPr>
          <w:rFonts w:cs="Arial"/>
        </w:rPr>
        <w:t xml:space="preserve">kde bude v stene osadený guľový uzáver DN20. Následne je rozvod vody vedený </w:t>
      </w:r>
      <w:r w:rsidR="00205EE8">
        <w:rPr>
          <w:rFonts w:cs="Arial"/>
        </w:rPr>
        <w:t xml:space="preserve">v stene ku jednotlivým zariaďovacím predmetom. </w:t>
      </w:r>
    </w:p>
    <w:p w14:paraId="3CB75632" w14:textId="327FC103" w:rsidR="00130F46" w:rsidRPr="00E67F9E" w:rsidRDefault="00130F46" w:rsidP="00130F46">
      <w:pPr>
        <w:jc w:val="both"/>
        <w:rPr>
          <w:rFonts w:cs="Arial"/>
        </w:rPr>
      </w:pPr>
      <w:r w:rsidRPr="00E67F9E">
        <w:rPr>
          <w:rFonts w:cs="Arial"/>
        </w:rPr>
        <w:lastRenderedPageBreak/>
        <w:t>Vnútorný vodovod je dimenzovaný podľa STN EN 806. Potrubné rozvody pre hygienické účely sú navrhnuté nasledovne:</w:t>
      </w:r>
    </w:p>
    <w:p w14:paraId="0C304487" w14:textId="32C19A47" w:rsidR="00F91D76" w:rsidRPr="00E67F9E" w:rsidRDefault="00F91D76" w:rsidP="005E50E2">
      <w:pPr>
        <w:jc w:val="both"/>
      </w:pPr>
    </w:p>
    <w:p w14:paraId="7232F319" w14:textId="60CD34E0" w:rsidR="00A13DD2" w:rsidRPr="00E67F9E" w:rsidRDefault="00A13DD2" w:rsidP="00A13DD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E67F9E">
        <w:rPr>
          <w:rFonts w:cs="Arial"/>
        </w:rPr>
        <w:t>Studená voda</w:t>
      </w:r>
      <w:r w:rsidRPr="00E67F9E">
        <w:rPr>
          <w:rFonts w:cs="Arial"/>
        </w:rPr>
        <w:tab/>
      </w:r>
      <w:r w:rsidRPr="00E67F9E">
        <w:rPr>
          <w:rFonts w:cs="Arial"/>
        </w:rPr>
        <w:tab/>
      </w:r>
      <w:r w:rsidRPr="00E67F9E">
        <w:rPr>
          <w:rFonts w:cs="Arial"/>
        </w:rPr>
        <w:tab/>
        <w:t>- PE-</w:t>
      </w:r>
      <w:proofErr w:type="spellStart"/>
      <w:r w:rsidR="0099614A">
        <w:rPr>
          <w:rFonts w:cs="Arial"/>
        </w:rPr>
        <w:t>Xb</w:t>
      </w:r>
      <w:proofErr w:type="spellEnd"/>
      <w:r w:rsidRPr="00E67F9E">
        <w:rPr>
          <w:rFonts w:cs="Arial"/>
        </w:rPr>
        <w:t>/AL/PE</w:t>
      </w:r>
      <w:r w:rsidR="0099614A">
        <w:rPr>
          <w:rFonts w:cs="Arial"/>
        </w:rPr>
        <w:t>-HD</w:t>
      </w:r>
      <w:r w:rsidRPr="00E67F9E">
        <w:rPr>
          <w:rFonts w:cs="Arial"/>
        </w:rPr>
        <w:t xml:space="preserve"> </w:t>
      </w:r>
    </w:p>
    <w:p w14:paraId="27A4E8C4" w14:textId="174B90A7" w:rsidR="00A13DD2" w:rsidRPr="00E67F9E" w:rsidRDefault="00A13DD2" w:rsidP="00A13DD2">
      <w:pPr>
        <w:autoSpaceDE w:val="0"/>
        <w:autoSpaceDN w:val="0"/>
        <w:adjustRightInd w:val="0"/>
        <w:spacing w:line="276" w:lineRule="auto"/>
        <w:jc w:val="both"/>
        <w:rPr>
          <w:rFonts w:cs="Arial"/>
        </w:rPr>
      </w:pPr>
      <w:r w:rsidRPr="00E67F9E">
        <w:rPr>
          <w:rFonts w:cs="Arial"/>
        </w:rPr>
        <w:t>Ohriata pitná voda</w:t>
      </w:r>
      <w:r w:rsidR="006E0C41">
        <w:rPr>
          <w:rFonts w:cs="Arial"/>
        </w:rPr>
        <w:tab/>
      </w:r>
      <w:r w:rsidRPr="00E67F9E">
        <w:rPr>
          <w:rFonts w:cs="Arial"/>
        </w:rPr>
        <w:tab/>
        <w:t>- PE-</w:t>
      </w:r>
      <w:proofErr w:type="spellStart"/>
      <w:r w:rsidR="0099614A">
        <w:rPr>
          <w:rFonts w:cs="Arial"/>
        </w:rPr>
        <w:t>Xb</w:t>
      </w:r>
      <w:proofErr w:type="spellEnd"/>
      <w:r w:rsidRPr="00E67F9E">
        <w:rPr>
          <w:rFonts w:cs="Arial"/>
        </w:rPr>
        <w:t>/AL/PE</w:t>
      </w:r>
      <w:r w:rsidR="0099614A">
        <w:rPr>
          <w:rFonts w:cs="Arial"/>
        </w:rPr>
        <w:t>-HD</w:t>
      </w:r>
      <w:r w:rsidRPr="00E67F9E">
        <w:rPr>
          <w:rFonts w:cs="Arial"/>
        </w:rPr>
        <w:t xml:space="preserve"> </w:t>
      </w:r>
    </w:p>
    <w:p w14:paraId="5E1464F7" w14:textId="4F724041" w:rsidR="00B9546F" w:rsidRPr="00E67F9E" w:rsidRDefault="00B9546F" w:rsidP="00A13DD2">
      <w:pPr>
        <w:tabs>
          <w:tab w:val="num" w:pos="426"/>
        </w:tabs>
        <w:autoSpaceDE w:val="0"/>
        <w:autoSpaceDN w:val="0"/>
        <w:adjustRightInd w:val="0"/>
        <w:spacing w:line="276" w:lineRule="auto"/>
        <w:jc w:val="both"/>
        <w:rPr>
          <w:rFonts w:cs="Arial"/>
        </w:rPr>
      </w:pPr>
    </w:p>
    <w:p w14:paraId="6A322DCC" w14:textId="7D661FF3" w:rsidR="00E67F9E" w:rsidRDefault="00E67F9E" w:rsidP="00E67F9E">
      <w:pPr>
        <w:jc w:val="both"/>
        <w:rPr>
          <w:rFonts w:cs="Arial"/>
        </w:rPr>
      </w:pPr>
      <w:r w:rsidRPr="00E67F9E">
        <w:rPr>
          <w:rFonts w:cs="Arial"/>
        </w:rPr>
        <w:t>Potrubia budú spájané mechanickými spojmi.</w:t>
      </w:r>
    </w:p>
    <w:p w14:paraId="51E4A84F" w14:textId="5088ECCB" w:rsidR="00B33601" w:rsidRDefault="00B33601" w:rsidP="00E67F9E">
      <w:pPr>
        <w:jc w:val="both"/>
        <w:rPr>
          <w:rFonts w:cs="Arial"/>
        </w:rPr>
      </w:pPr>
    </w:p>
    <w:p w14:paraId="5BAC6D82" w14:textId="6E3D5650" w:rsidR="00821BE9" w:rsidRDefault="00B33601" w:rsidP="00E67F9E">
      <w:pPr>
        <w:jc w:val="both"/>
        <w:rPr>
          <w:rFonts w:cs="Arial"/>
        </w:rPr>
      </w:pPr>
      <w:r>
        <w:rPr>
          <w:rFonts w:cs="Arial"/>
        </w:rPr>
        <w:t xml:space="preserve">Pitnou vodou </w:t>
      </w:r>
      <w:r w:rsidR="006255FC">
        <w:rPr>
          <w:rFonts w:cs="Arial"/>
        </w:rPr>
        <w:t>budú</w:t>
      </w:r>
      <w:r w:rsidR="00741988">
        <w:rPr>
          <w:rFonts w:cs="Arial"/>
        </w:rPr>
        <w:t xml:space="preserve"> zás</w:t>
      </w:r>
      <w:r w:rsidR="00821BE9">
        <w:rPr>
          <w:rFonts w:cs="Arial"/>
        </w:rPr>
        <w:t>obované klasické zariaďovacie predmety:</w:t>
      </w:r>
    </w:p>
    <w:p w14:paraId="1A47702A" w14:textId="7BB6015B" w:rsidR="004412F2" w:rsidRDefault="004412F2" w:rsidP="00E67F9E">
      <w:pPr>
        <w:jc w:val="both"/>
        <w:rPr>
          <w:rFonts w:cs="Arial"/>
        </w:rPr>
      </w:pPr>
    </w:p>
    <w:p w14:paraId="105EF793" w14:textId="1CFD33F5" w:rsidR="00B46DBF" w:rsidRDefault="0099614A" w:rsidP="00E67F9E">
      <w:pPr>
        <w:jc w:val="both"/>
        <w:rPr>
          <w:rFonts w:cs="Arial"/>
        </w:rPr>
      </w:pPr>
      <w:r>
        <w:rPr>
          <w:rFonts w:cs="Arial"/>
        </w:rPr>
        <w:t>2</w:t>
      </w:r>
      <w:r w:rsidR="00B46DBF">
        <w:rPr>
          <w:rFonts w:cs="Arial"/>
        </w:rPr>
        <w:t xml:space="preserve">x </w:t>
      </w:r>
      <w:r>
        <w:rPr>
          <w:rFonts w:cs="Arial"/>
        </w:rPr>
        <w:t>Umývadlo</w:t>
      </w:r>
      <w:r w:rsidR="00182425">
        <w:rPr>
          <w:rFonts w:cs="Arial"/>
        </w:rPr>
        <w:t>, stojančeková batéria</w:t>
      </w:r>
      <w:r w:rsidR="00D80AEA">
        <w:rPr>
          <w:rFonts w:cs="Arial"/>
        </w:rPr>
        <w:t>, 2x rohový ventil</w:t>
      </w:r>
      <w:r>
        <w:rPr>
          <w:rFonts w:cs="Arial"/>
        </w:rPr>
        <w:t xml:space="preserve"> DN15</w:t>
      </w:r>
    </w:p>
    <w:p w14:paraId="0250C1F6" w14:textId="38BF0423" w:rsidR="0099614A" w:rsidRDefault="0099614A" w:rsidP="00E67F9E">
      <w:pPr>
        <w:jc w:val="both"/>
        <w:rPr>
          <w:rFonts w:cs="Arial"/>
        </w:rPr>
      </w:pPr>
      <w:r>
        <w:rPr>
          <w:rFonts w:cs="Arial"/>
        </w:rPr>
        <w:t>1x Umývadlo pre invalidov, stojančeková batéria, 2x rohový ventil DN15</w:t>
      </w:r>
    </w:p>
    <w:p w14:paraId="130E8D28" w14:textId="0315EAFD" w:rsidR="0099614A" w:rsidRDefault="0099614A" w:rsidP="00E67F9E">
      <w:pPr>
        <w:jc w:val="both"/>
        <w:rPr>
          <w:rFonts w:cs="Arial"/>
        </w:rPr>
      </w:pPr>
      <w:r>
        <w:rPr>
          <w:rFonts w:cs="Arial"/>
        </w:rPr>
        <w:t xml:space="preserve">2x WC </w:t>
      </w:r>
      <w:r w:rsidR="00E96C6D">
        <w:rPr>
          <w:rFonts w:cs="Arial"/>
        </w:rPr>
        <w:t xml:space="preserve">– zavesená záchodová misa do </w:t>
      </w:r>
      <w:proofErr w:type="spellStart"/>
      <w:r w:rsidR="00E96C6D">
        <w:rPr>
          <w:rFonts w:cs="Arial"/>
        </w:rPr>
        <w:t>predstenového</w:t>
      </w:r>
      <w:proofErr w:type="spellEnd"/>
      <w:r w:rsidR="00E96C6D">
        <w:rPr>
          <w:rFonts w:cs="Arial"/>
        </w:rPr>
        <w:t xml:space="preserve"> systému</w:t>
      </w:r>
      <w:r w:rsidR="00FD15F3">
        <w:rPr>
          <w:rFonts w:cs="Arial"/>
        </w:rPr>
        <w:t>,</w:t>
      </w:r>
      <w:r w:rsidR="00E96C6D">
        <w:rPr>
          <w:rFonts w:cs="Arial"/>
        </w:rPr>
        <w:t xml:space="preserve"> vrátane tlačidla a záchodovej dosky</w:t>
      </w:r>
    </w:p>
    <w:p w14:paraId="0E539DA1" w14:textId="322562A1" w:rsidR="00E96C6D" w:rsidRDefault="00E96C6D" w:rsidP="00E67F9E">
      <w:pPr>
        <w:jc w:val="both"/>
        <w:rPr>
          <w:rFonts w:cs="Arial"/>
        </w:rPr>
      </w:pPr>
      <w:r>
        <w:rPr>
          <w:rFonts w:cs="Arial"/>
        </w:rPr>
        <w:t xml:space="preserve">1x WC-I – zavesená záchodová misa pre imobilných </w:t>
      </w:r>
      <w:r w:rsidR="00FD15F3">
        <w:rPr>
          <w:rFonts w:cs="Arial"/>
        </w:rPr>
        <w:t xml:space="preserve">do </w:t>
      </w:r>
      <w:proofErr w:type="spellStart"/>
      <w:r w:rsidR="00FD15F3">
        <w:rPr>
          <w:rFonts w:cs="Arial"/>
        </w:rPr>
        <w:t>predstenového</w:t>
      </w:r>
      <w:proofErr w:type="spellEnd"/>
      <w:r w:rsidR="00FD15F3">
        <w:rPr>
          <w:rFonts w:cs="Arial"/>
        </w:rPr>
        <w:t xml:space="preserve"> systému, vrátane príslušenstva</w:t>
      </w:r>
    </w:p>
    <w:p w14:paraId="59F77828" w14:textId="5F459599" w:rsidR="00DB2077" w:rsidRDefault="00182425" w:rsidP="00DB207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1x Elektrický </w:t>
      </w:r>
      <w:r w:rsidR="00401319">
        <w:rPr>
          <w:rFonts w:cs="Arial"/>
        </w:rPr>
        <w:t>prietokový ohrievač</w:t>
      </w:r>
      <w:r w:rsidR="0033439E">
        <w:rPr>
          <w:rFonts w:cs="Arial"/>
        </w:rPr>
        <w:t xml:space="preserve">, </w:t>
      </w:r>
      <w:r w:rsidR="00DB2077" w:rsidRPr="00DB2077">
        <w:rPr>
          <w:rFonts w:cs="Arial"/>
        </w:rPr>
        <w:t>ELX10</w:t>
      </w:r>
      <w:r w:rsidR="00011CF6">
        <w:rPr>
          <w:rFonts w:cs="Arial"/>
        </w:rPr>
        <w:t>,</w:t>
      </w:r>
      <w:r w:rsidR="00DB2077" w:rsidRPr="00DB2077">
        <w:rPr>
          <w:rFonts w:cs="Arial"/>
        </w:rPr>
        <w:t xml:space="preserve">  príkon 10</w:t>
      </w:r>
      <w:r w:rsidR="008C681D">
        <w:rPr>
          <w:rFonts w:cs="Arial"/>
        </w:rPr>
        <w:t>,0</w:t>
      </w:r>
      <w:r w:rsidR="00DB2077" w:rsidRPr="00DB2077">
        <w:rPr>
          <w:rFonts w:cs="Arial"/>
        </w:rPr>
        <w:t xml:space="preserve"> k</w:t>
      </w:r>
      <w:r w:rsidR="00DB2077">
        <w:rPr>
          <w:rFonts w:cs="Arial"/>
        </w:rPr>
        <w:t>W</w:t>
      </w:r>
      <w:r w:rsidR="00DB2077" w:rsidRPr="00DB2077">
        <w:rPr>
          <w:rFonts w:cs="Arial"/>
        </w:rPr>
        <w:t>, 3x400</w:t>
      </w:r>
      <w:r w:rsidR="00DB2077">
        <w:rPr>
          <w:rFonts w:cs="Arial"/>
        </w:rPr>
        <w:t>V</w:t>
      </w:r>
      <w:r w:rsidR="00DB2077" w:rsidRPr="00DB2077">
        <w:rPr>
          <w:rFonts w:cs="Arial"/>
        </w:rPr>
        <w:t>, 3x16</w:t>
      </w:r>
      <w:r w:rsidR="00DB2077">
        <w:rPr>
          <w:rFonts w:cs="Arial"/>
        </w:rPr>
        <w:t>A</w:t>
      </w:r>
      <w:r w:rsidR="00DB2077" w:rsidRPr="00DB2077">
        <w:rPr>
          <w:rFonts w:cs="Arial"/>
        </w:rPr>
        <w:t>, IP24</w:t>
      </w:r>
    </w:p>
    <w:p w14:paraId="0B8909FE" w14:textId="45418EBC" w:rsidR="004A5CBF" w:rsidRDefault="004A5CBF" w:rsidP="00DB2077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1x Výtokový ventil – zmiešavacia batéria – upratovačka</w:t>
      </w:r>
    </w:p>
    <w:p w14:paraId="7EC8941E" w14:textId="6FE73610" w:rsidR="00011CF6" w:rsidRDefault="00011CF6" w:rsidP="00DB2077">
      <w:pPr>
        <w:autoSpaceDE w:val="0"/>
        <w:autoSpaceDN w:val="0"/>
        <w:adjustRightInd w:val="0"/>
        <w:rPr>
          <w:rFonts w:cs="Arial"/>
        </w:rPr>
      </w:pPr>
    </w:p>
    <w:p w14:paraId="29AA5FB5" w14:textId="5FD62398" w:rsidR="00821BE9" w:rsidRPr="006255FC" w:rsidRDefault="00011CF6" w:rsidP="006255FC">
      <w:pPr>
        <w:autoSpaceDE w:val="0"/>
        <w:autoSpaceDN w:val="0"/>
        <w:adjustRightInd w:val="0"/>
        <w:rPr>
          <w:rFonts w:cs="Arial"/>
          <w:sz w:val="24"/>
          <w:szCs w:val="24"/>
        </w:rPr>
      </w:pPr>
      <w:r>
        <w:rPr>
          <w:rFonts w:cs="Arial"/>
        </w:rPr>
        <w:t xml:space="preserve">Presné typy zariaďovacích predmetov si vyberá investor ! </w:t>
      </w:r>
    </w:p>
    <w:p w14:paraId="7F1CA201" w14:textId="1C607C83" w:rsidR="00CB3D9E" w:rsidRPr="00061667" w:rsidRDefault="00CB3D9E" w:rsidP="00CB3D9E">
      <w:pPr>
        <w:pStyle w:val="Nadpis1"/>
      </w:pPr>
      <w:bookmarkStart w:id="24" w:name="_Toc109590092"/>
      <w:r w:rsidRPr="00061667">
        <w:t>Príprava teplej vody</w:t>
      </w:r>
      <w:bookmarkEnd w:id="24"/>
    </w:p>
    <w:p w14:paraId="2A912B53" w14:textId="07B9B5B9" w:rsidR="009D63FF" w:rsidRDefault="00CB3D9E" w:rsidP="008468E2">
      <w:pPr>
        <w:jc w:val="both"/>
      </w:pPr>
      <w:r w:rsidRPr="00F67610">
        <w:t xml:space="preserve">Príprava </w:t>
      </w:r>
      <w:r w:rsidR="00063F62" w:rsidRPr="00F67610">
        <w:t xml:space="preserve">teplej vody bude riešená pomocou </w:t>
      </w:r>
      <w:r w:rsidR="006255FC">
        <w:t>prietokového</w:t>
      </w:r>
      <w:r w:rsidR="00063F62" w:rsidRPr="00F67610">
        <w:t xml:space="preserve"> elektrického ohrievača</w:t>
      </w:r>
      <w:r w:rsidR="00FC0B1F" w:rsidRPr="00F67610">
        <w:t xml:space="preserve"> </w:t>
      </w:r>
      <w:r w:rsidR="009D63FF">
        <w:t xml:space="preserve">kvalitatívne ako </w:t>
      </w:r>
      <w:r w:rsidR="006255FC">
        <w:t>ELX 10</w:t>
      </w:r>
      <w:r w:rsidR="009D63FF">
        <w:t xml:space="preserve">, </w:t>
      </w:r>
      <w:r w:rsidR="00FC0B1F" w:rsidRPr="00F67610">
        <w:t xml:space="preserve">o objeme </w:t>
      </w:r>
      <w:r w:rsidR="00476A6A">
        <w:t>1</w:t>
      </w:r>
      <w:r w:rsidR="006255FC">
        <w:t>0</w:t>
      </w:r>
      <w:r w:rsidR="00FC0B1F" w:rsidRPr="00F67610">
        <w:t>l</w:t>
      </w:r>
      <w:r w:rsidR="009D63FF">
        <w:t xml:space="preserve">, príkon </w:t>
      </w:r>
      <w:r w:rsidR="006255FC">
        <w:t>10</w:t>
      </w:r>
      <w:r w:rsidR="009D63FF">
        <w:t xml:space="preserve">,0 kW, napätie </w:t>
      </w:r>
      <w:r w:rsidR="008C681D">
        <w:t>3x400</w:t>
      </w:r>
      <w:r w:rsidR="009D63FF">
        <w:t xml:space="preserve">V, istenie </w:t>
      </w:r>
      <w:r w:rsidR="008C681D">
        <w:t>3x</w:t>
      </w:r>
      <w:r w:rsidR="009D63FF">
        <w:t>1</w:t>
      </w:r>
      <w:r w:rsidR="008C681D">
        <w:t>6</w:t>
      </w:r>
      <w:r w:rsidR="009D63FF">
        <w:t>A, IP24</w:t>
      </w:r>
      <w:r w:rsidR="00FC0B1F" w:rsidRPr="00F67610">
        <w:t xml:space="preserve">. </w:t>
      </w:r>
    </w:p>
    <w:p w14:paraId="06E3A432" w14:textId="02E9433A" w:rsidR="00923884" w:rsidRPr="00DA244C" w:rsidRDefault="00923884" w:rsidP="00923884">
      <w:pPr>
        <w:pStyle w:val="Nadpis1"/>
      </w:pPr>
      <w:bookmarkStart w:id="25" w:name="_Toc109590093"/>
      <w:r w:rsidRPr="00DA244C">
        <w:t>Skúšanie vnútorného vodovodu</w:t>
      </w:r>
      <w:bookmarkEnd w:id="25"/>
    </w:p>
    <w:p w14:paraId="7C500A06" w14:textId="77777777" w:rsidR="00E76040" w:rsidRPr="00DA244C" w:rsidRDefault="00E76040" w:rsidP="00E76040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DA244C">
        <w:rPr>
          <w:rFonts w:ascii="Arial" w:hAnsi="Arial" w:cs="Arial"/>
          <w:sz w:val="20"/>
          <w:szCs w:val="20"/>
        </w:rPr>
        <w:t>Každý vnútorný vodovod musí byť pred pripojením na verejný vodovod obhliadnutý  a odskúšaný. Prehliadku je možné vykonať po častiach alebo vcelku. Prevedenie vnútorného vodovodu musí byť v súlade s projektom a s STN 73 6660.</w:t>
      </w:r>
    </w:p>
    <w:p w14:paraId="0C3CB79B" w14:textId="4F9BCA8A" w:rsidR="00F71090" w:rsidRPr="00DA244C" w:rsidRDefault="00F71090" w:rsidP="00F71090">
      <w:pPr>
        <w:pStyle w:val="Nadpis1"/>
      </w:pPr>
      <w:bookmarkStart w:id="26" w:name="_Toc109590094"/>
      <w:r w:rsidRPr="00DA244C">
        <w:t>Tlaková skúška</w:t>
      </w:r>
      <w:bookmarkEnd w:id="26"/>
      <w:r w:rsidRPr="00DA244C">
        <w:t xml:space="preserve"> </w:t>
      </w:r>
    </w:p>
    <w:p w14:paraId="07EB75BB" w14:textId="77777777" w:rsidR="0011312B" w:rsidRPr="00DA244C" w:rsidRDefault="0011312B" w:rsidP="0011312B">
      <w:pPr>
        <w:pStyle w:val="Text"/>
        <w:ind w:firstLine="0"/>
        <w:rPr>
          <w:rFonts w:ascii="Arial" w:hAnsi="Arial" w:cs="Arial"/>
          <w:sz w:val="20"/>
          <w:szCs w:val="20"/>
        </w:rPr>
      </w:pPr>
      <w:r w:rsidRPr="00DA244C">
        <w:rPr>
          <w:rFonts w:ascii="Arial" w:hAnsi="Arial" w:cs="Arial"/>
          <w:sz w:val="20"/>
          <w:szCs w:val="20"/>
        </w:rPr>
        <w:t xml:space="preserve">Po vyhovujúcej obhliadke vodovodu a pred tlakovou skúškou je potrebné potrubie dobre prepláchnuť. Vnútorný vodovod v objekte sa skúša pretlakom rovným 1,5 násobku pracovného pretlaku , najmenej však pretlakom  1 MPa. Skúšobný pretlak nesmie klesnúť za 15 min. viac než o 0,05 MPa. Vnútorný vodovod skúša montážna organizácia za prítomnosti skúšobného orgánu. K meraniu sa používajú manometre s presným odčítaním najmenej  po 0,001 až 0,002 MPa.  O výsledku tlakovej skúšky sa urobí zápis. Ak je výsledok skúšky priaznivý, môže sa vnútorný vodovod pripojiť na verejný. Vodu z verejného vodovodu možno  vpustiť  až  po pripojení vodomeru.    </w:t>
      </w:r>
    </w:p>
    <w:p w14:paraId="6F1042B9" w14:textId="77777777" w:rsidR="0011312B" w:rsidRPr="00DA244C" w:rsidRDefault="0011312B" w:rsidP="0011312B">
      <w:pPr>
        <w:jc w:val="both"/>
        <w:rPr>
          <w:rFonts w:cs="Arial"/>
        </w:rPr>
      </w:pPr>
      <w:r w:rsidRPr="00DA244C">
        <w:rPr>
          <w:rFonts w:cs="Arial"/>
        </w:rPr>
        <w:t>O tlakovej skúške musí byť vyhotovený písomný záznam a musí byť pri nej prítomný aj kontrolný orgán.</w:t>
      </w:r>
    </w:p>
    <w:p w14:paraId="30DE0086" w14:textId="18704107" w:rsidR="000A4862" w:rsidRPr="00D272ED" w:rsidRDefault="00DD781D" w:rsidP="000A4862">
      <w:pPr>
        <w:pStyle w:val="Nadpis1"/>
      </w:pPr>
      <w:bookmarkStart w:id="27" w:name="_Toc109590095"/>
      <w:r>
        <w:t>Splašková kanalizácia</w:t>
      </w:r>
      <w:bookmarkEnd w:id="27"/>
    </w:p>
    <w:p w14:paraId="6744725E" w14:textId="1AAFEF20" w:rsidR="005F4AE2" w:rsidRDefault="00DD781D" w:rsidP="0048034D">
      <w:pPr>
        <w:jc w:val="both"/>
      </w:pPr>
      <w:r>
        <w:t xml:space="preserve">Dom smútku je odkanalizovaný do existujúcej žumpy pred objektom. </w:t>
      </w:r>
      <w:r w:rsidR="008F1288">
        <w:t>Nakoľko nevieme v akom technickom stave sú existujúce potrubia kanalizácie</w:t>
      </w:r>
      <w:r w:rsidR="00362373">
        <w:t xml:space="preserve"> je potrebné ich pred rekonštrukciou skontrolovať</w:t>
      </w:r>
      <w:r w:rsidR="00BC29FA">
        <w:t xml:space="preserve">. Potreba je vyčistiť všetky ležaté rozvody a spraviť kamerové </w:t>
      </w:r>
      <w:r w:rsidR="006E0B7A">
        <w:t>záznamy</w:t>
      </w:r>
      <w:r w:rsidR="00BC29FA">
        <w:t xml:space="preserve"> či nedošlo ku prelomeniu </w:t>
      </w:r>
      <w:r w:rsidR="006E0B7A">
        <w:t xml:space="preserve">kanalizácie nakoľko celý objekt je sadnutí a pri sadnutí mohlo dôjsť ku poškodeniu potrubia. </w:t>
      </w:r>
    </w:p>
    <w:p w14:paraId="4F77C009" w14:textId="59873491" w:rsidR="00942508" w:rsidRDefault="00182522" w:rsidP="0048034D">
      <w:pPr>
        <w:jc w:val="both"/>
      </w:pPr>
      <w:r>
        <w:t xml:space="preserve">Existujúcu žumpu je potrebné skontrolovať </w:t>
      </w:r>
      <w:r w:rsidR="00942508">
        <w:t>či nie je poškodená vodotesnosť.</w:t>
      </w:r>
    </w:p>
    <w:p w14:paraId="0B137ED1" w14:textId="77777777" w:rsidR="00DD781D" w:rsidRDefault="00DD781D" w:rsidP="0048034D">
      <w:pPr>
        <w:jc w:val="both"/>
        <w:rPr>
          <w:rFonts w:cs="Arial"/>
        </w:rPr>
      </w:pPr>
    </w:p>
    <w:p w14:paraId="6BB7C6B4" w14:textId="257B6D0E" w:rsidR="00E14CC0" w:rsidRPr="007C3C04" w:rsidRDefault="00585E39" w:rsidP="0048034D">
      <w:pPr>
        <w:jc w:val="both"/>
        <w:rPr>
          <w:rFonts w:cs="Arial"/>
        </w:rPr>
      </w:pPr>
      <w:r w:rsidRPr="007C3C04">
        <w:rPr>
          <w:rFonts w:cs="Arial"/>
        </w:rPr>
        <w:t xml:space="preserve">Bilancia množstva splaškových odpadových vôd vychádza z bilancie potreby pitnej vody. Výpočet je prevedený podľa Vyhlášky MŽP SR č. 684/2006 zo 14.11.2006, ktorou sa ustanovujú podrobnosti o technických požiadavkách na návrh, projektovú dokumentáciu a výstavbu verejných vodovodov a verejných kanalizácií, a podľa STN 75 6101 - gravitačné kanalizačné systémy mimo budov. </w:t>
      </w:r>
    </w:p>
    <w:p w14:paraId="3D82E0B5" w14:textId="77777777" w:rsidR="00C074CF" w:rsidRPr="005A4F6F" w:rsidRDefault="00C074CF" w:rsidP="0048034D">
      <w:pPr>
        <w:jc w:val="both"/>
        <w:rPr>
          <w:rFonts w:cs="Arial"/>
          <w:highlight w:val="yellow"/>
        </w:rPr>
      </w:pPr>
    </w:p>
    <w:p w14:paraId="3D05883F" w14:textId="6E456281" w:rsidR="00410618" w:rsidRPr="007C3C04" w:rsidRDefault="00585E39" w:rsidP="006C10CD">
      <w:pPr>
        <w:jc w:val="both"/>
        <w:rPr>
          <w:rFonts w:cs="Arial"/>
        </w:rPr>
      </w:pPr>
      <w:r w:rsidRPr="007C3C04">
        <w:rPr>
          <w:rFonts w:cs="Arial"/>
        </w:rPr>
        <w:t xml:space="preserve">Uvažované </w:t>
      </w:r>
      <w:r w:rsidR="00410618" w:rsidRPr="007C3C04">
        <w:rPr>
          <w:rFonts w:cs="Arial"/>
        </w:rPr>
        <w:t>zariaďovacie predmety</w:t>
      </w:r>
      <w:r w:rsidR="00E25F60">
        <w:rPr>
          <w:rFonts w:cs="Arial"/>
        </w:rPr>
        <w:t xml:space="preserve"> – navrhovaná rekonštrukcia</w:t>
      </w:r>
      <w:r w:rsidR="00410618" w:rsidRPr="007C3C04">
        <w:rPr>
          <w:rFonts w:cs="Arial"/>
        </w:rPr>
        <w:t>:</w:t>
      </w:r>
      <w:r w:rsidR="00410618" w:rsidRPr="007C3C04">
        <w:rPr>
          <w:rFonts w:cs="Arial"/>
        </w:rPr>
        <w:tab/>
      </w:r>
    </w:p>
    <w:p w14:paraId="23B64A08" w14:textId="77777777" w:rsidR="00676C4A" w:rsidRDefault="00676C4A" w:rsidP="00676C4A">
      <w:pPr>
        <w:jc w:val="both"/>
        <w:rPr>
          <w:rFonts w:cs="Arial"/>
        </w:rPr>
      </w:pPr>
      <w:r>
        <w:rPr>
          <w:rFonts w:cs="Arial"/>
        </w:rPr>
        <w:t>2x Umývadlo, stojančeková batéria, 2x rohový ventil DN15</w:t>
      </w:r>
    </w:p>
    <w:p w14:paraId="2342C89C" w14:textId="77777777" w:rsidR="00676C4A" w:rsidRDefault="00676C4A" w:rsidP="00676C4A">
      <w:pPr>
        <w:jc w:val="both"/>
        <w:rPr>
          <w:rFonts w:cs="Arial"/>
        </w:rPr>
      </w:pPr>
      <w:r>
        <w:rPr>
          <w:rFonts w:cs="Arial"/>
        </w:rPr>
        <w:t>1x Umývadlo pre invalidov, stojančeková batéria, 2x rohový ventil DN15</w:t>
      </w:r>
    </w:p>
    <w:p w14:paraId="5416C8E2" w14:textId="77777777" w:rsidR="00676C4A" w:rsidRDefault="00676C4A" w:rsidP="00676C4A">
      <w:pPr>
        <w:jc w:val="both"/>
        <w:rPr>
          <w:rFonts w:cs="Arial"/>
        </w:rPr>
      </w:pPr>
      <w:r>
        <w:rPr>
          <w:rFonts w:cs="Arial"/>
        </w:rPr>
        <w:t xml:space="preserve">2x WC – zavesená záchodová misa do </w:t>
      </w:r>
      <w:proofErr w:type="spellStart"/>
      <w:r>
        <w:rPr>
          <w:rFonts w:cs="Arial"/>
        </w:rPr>
        <w:t>predstenového</w:t>
      </w:r>
      <w:proofErr w:type="spellEnd"/>
      <w:r>
        <w:rPr>
          <w:rFonts w:cs="Arial"/>
        </w:rPr>
        <w:t xml:space="preserve"> systému, vrátane tlačidla a záchodovej dosky</w:t>
      </w:r>
    </w:p>
    <w:p w14:paraId="0925797F" w14:textId="4BCD418F" w:rsidR="00676C4A" w:rsidRDefault="00676C4A" w:rsidP="00676C4A">
      <w:pPr>
        <w:jc w:val="both"/>
        <w:rPr>
          <w:rFonts w:cs="Arial"/>
        </w:rPr>
      </w:pPr>
      <w:r>
        <w:rPr>
          <w:rFonts w:cs="Arial"/>
        </w:rPr>
        <w:t xml:space="preserve">1x WC-I – zavesená záchodová misa pre imobilných do </w:t>
      </w:r>
      <w:proofErr w:type="spellStart"/>
      <w:r>
        <w:rPr>
          <w:rFonts w:cs="Arial"/>
        </w:rPr>
        <w:t>predstenového</w:t>
      </w:r>
      <w:proofErr w:type="spellEnd"/>
      <w:r>
        <w:rPr>
          <w:rFonts w:cs="Arial"/>
        </w:rPr>
        <w:t xml:space="preserve"> systému, vrátane príslušenstva</w:t>
      </w:r>
    </w:p>
    <w:p w14:paraId="1C58DA27" w14:textId="0CD106C2" w:rsidR="00676C4A" w:rsidRDefault="00676C4A" w:rsidP="00676C4A">
      <w:pPr>
        <w:jc w:val="both"/>
        <w:rPr>
          <w:rFonts w:cs="Arial"/>
        </w:rPr>
      </w:pPr>
    </w:p>
    <w:p w14:paraId="49FCE737" w14:textId="668F2B8B" w:rsidR="00676C4A" w:rsidRDefault="00C23B1D" w:rsidP="00676C4A">
      <w:pPr>
        <w:jc w:val="both"/>
        <w:rPr>
          <w:rFonts w:cs="Arial"/>
        </w:rPr>
      </w:pPr>
      <w:r>
        <w:rPr>
          <w:rFonts w:cs="Arial"/>
        </w:rPr>
        <w:t xml:space="preserve">Výpočtový prietok pre splaškovú kanalizáciu </w:t>
      </w:r>
      <w:r w:rsidR="00DD6CB9">
        <w:rPr>
          <w:rFonts w:cs="Arial"/>
        </w:rPr>
        <w:t>– pôvodná je 0,97 l/s.</w:t>
      </w:r>
      <w:r w:rsidR="00AC1553">
        <w:rPr>
          <w:rFonts w:cs="Arial"/>
        </w:rPr>
        <w:t xml:space="preserve"> (1xU,1xS, 1xWC)</w:t>
      </w:r>
    </w:p>
    <w:p w14:paraId="5FC91CFA" w14:textId="36D03A67" w:rsidR="00DD6CB9" w:rsidRDefault="00DD6CB9" w:rsidP="00676C4A">
      <w:pPr>
        <w:jc w:val="both"/>
        <w:rPr>
          <w:rFonts w:cs="Arial"/>
        </w:rPr>
      </w:pPr>
      <w:r>
        <w:rPr>
          <w:rFonts w:cs="Arial"/>
        </w:rPr>
        <w:t xml:space="preserve">Výpočtový prietok pre splaškovú kanalizáciu – navrhovaná rekonštrukcia je </w:t>
      </w:r>
      <w:r w:rsidR="00AC1553">
        <w:rPr>
          <w:rFonts w:cs="Arial"/>
        </w:rPr>
        <w:t>1,37</w:t>
      </w:r>
      <w:r>
        <w:rPr>
          <w:rFonts w:cs="Arial"/>
        </w:rPr>
        <w:t xml:space="preserve"> l/s.</w:t>
      </w:r>
    </w:p>
    <w:p w14:paraId="49DB9AB7" w14:textId="4F425024" w:rsidR="00301798" w:rsidRPr="008F06DA" w:rsidRDefault="00301798" w:rsidP="00301798">
      <w:pPr>
        <w:pStyle w:val="Nadpis1"/>
      </w:pPr>
      <w:bookmarkStart w:id="28" w:name="_Toc109590096"/>
      <w:r w:rsidRPr="008F06DA">
        <w:lastRenderedPageBreak/>
        <w:t>Vnútorná splašková kanalizácia</w:t>
      </w:r>
      <w:bookmarkEnd w:id="28"/>
    </w:p>
    <w:p w14:paraId="17D04D35" w14:textId="11EA9744" w:rsidR="00BD1CDA" w:rsidRPr="008F06DA" w:rsidRDefault="00BD1CDA" w:rsidP="00BD1CDA">
      <w:pPr>
        <w:jc w:val="both"/>
        <w:rPr>
          <w:rFonts w:cs="Arial"/>
        </w:rPr>
      </w:pPr>
      <w:r w:rsidRPr="008F06DA">
        <w:rPr>
          <w:rFonts w:cs="Arial"/>
        </w:rPr>
        <w:t xml:space="preserve">Splašková kanalizácia odvádza splaškovú vodu od zariaďovacích predmetov do </w:t>
      </w:r>
      <w:r w:rsidR="006C10CD">
        <w:rPr>
          <w:rFonts w:cs="Arial"/>
        </w:rPr>
        <w:t xml:space="preserve">existujúcej </w:t>
      </w:r>
      <w:r w:rsidR="00E25F60">
        <w:rPr>
          <w:rFonts w:cs="Arial"/>
        </w:rPr>
        <w:t>žumpy</w:t>
      </w:r>
      <w:r w:rsidRPr="008F06DA">
        <w:rPr>
          <w:rFonts w:cs="Arial"/>
        </w:rPr>
        <w:t>.</w:t>
      </w:r>
    </w:p>
    <w:p w14:paraId="4444153F" w14:textId="77777777" w:rsidR="00E25F60" w:rsidRDefault="00BD1CDA" w:rsidP="00BD1CDA">
      <w:pPr>
        <w:jc w:val="both"/>
        <w:rPr>
          <w:rFonts w:cs="Arial"/>
        </w:rPr>
      </w:pPr>
      <w:r w:rsidRPr="008F06DA">
        <w:rPr>
          <w:rFonts w:cs="Arial"/>
        </w:rPr>
        <w:t>Návrh kanalizácie je prevedený v zmysle STN EN 12056.</w:t>
      </w:r>
      <w:r w:rsidR="008F06DA">
        <w:rPr>
          <w:rFonts w:cs="Arial"/>
        </w:rPr>
        <w:t xml:space="preserve"> </w:t>
      </w:r>
    </w:p>
    <w:p w14:paraId="2D2EAF6A" w14:textId="6FB9C193" w:rsidR="00BD1CDA" w:rsidRPr="008F06DA" w:rsidRDefault="008F06DA" w:rsidP="00BD1CDA">
      <w:pPr>
        <w:jc w:val="both"/>
        <w:rPr>
          <w:rFonts w:cs="Arial"/>
        </w:rPr>
      </w:pPr>
      <w:r>
        <w:rPr>
          <w:rFonts w:cs="Arial"/>
        </w:rPr>
        <w:t>Všetky zariaďovacie predmety musia byť napojené cez zápachovú uzávierku !</w:t>
      </w:r>
    </w:p>
    <w:p w14:paraId="55BDB7CE" w14:textId="29CA06FB" w:rsidR="00BD1CDA" w:rsidRPr="008F06DA" w:rsidRDefault="00BD1CDA" w:rsidP="00BD1CDA">
      <w:pPr>
        <w:pStyle w:val="Nadpis1"/>
      </w:pPr>
      <w:bookmarkStart w:id="29" w:name="_Toc109590097"/>
      <w:r w:rsidRPr="008F06DA">
        <w:t>Odpadové potrubia</w:t>
      </w:r>
      <w:bookmarkEnd w:id="29"/>
    </w:p>
    <w:p w14:paraId="15084955" w14:textId="751747F8" w:rsidR="0010723C" w:rsidRPr="005A4F6F" w:rsidRDefault="00E25F60" w:rsidP="00935E65">
      <w:pPr>
        <w:jc w:val="both"/>
        <w:rPr>
          <w:rFonts w:cs="Arial"/>
          <w:highlight w:val="yellow"/>
        </w:rPr>
      </w:pPr>
      <w:r>
        <w:t xml:space="preserve">Pôvodné odpadové potrubie K1x </w:t>
      </w:r>
      <w:r w:rsidR="008054C6">
        <w:t xml:space="preserve">DN100 </w:t>
      </w:r>
      <w:r w:rsidR="00033B68">
        <w:t xml:space="preserve">Liatina </w:t>
      </w:r>
      <w:r>
        <w:t>bude zrušen</w:t>
      </w:r>
      <w:r w:rsidR="004477E6">
        <w:t xml:space="preserve">á. Nová poloha K1 D110, PP bude osadená v zázemí </w:t>
      </w:r>
      <w:r w:rsidR="00EC5D13">
        <w:t xml:space="preserve">v inštalačne stene WC. Potrubie bude vyvedené aj nad strechu a ukončené HL810. </w:t>
      </w:r>
      <w:r w:rsidR="00BE4910" w:rsidRPr="005C3C9C">
        <w:rPr>
          <w:rFonts w:cs="Arial"/>
        </w:rPr>
        <w:t xml:space="preserve">Na splaškových </w:t>
      </w:r>
      <w:r w:rsidR="00BE4910">
        <w:rPr>
          <w:rFonts w:cs="Arial"/>
        </w:rPr>
        <w:t xml:space="preserve">odpadových </w:t>
      </w:r>
      <w:r w:rsidR="00BE4910" w:rsidRPr="005C3C9C">
        <w:rPr>
          <w:rFonts w:cs="Arial"/>
        </w:rPr>
        <w:t xml:space="preserve">potrubiach </w:t>
      </w:r>
      <w:r w:rsidR="00BE4910">
        <w:rPr>
          <w:rFonts w:cs="Arial"/>
        </w:rPr>
        <w:t>je potrebné osadiť čistiaci kus</w:t>
      </w:r>
      <w:r w:rsidR="00BE4910" w:rsidRPr="005C3C9C">
        <w:rPr>
          <w:rFonts w:cs="Arial"/>
        </w:rPr>
        <w:t xml:space="preserve"> vo výške 1,0</w:t>
      </w:r>
      <w:r w:rsidR="00BE4910" w:rsidRPr="005C3C9C">
        <w:rPr>
          <w:rFonts w:cs="Arial"/>
          <w:lang w:val="en-US"/>
        </w:rPr>
        <w:t>~</w:t>
      </w:r>
      <w:r w:rsidR="00BE4910" w:rsidRPr="005C3C9C">
        <w:rPr>
          <w:rFonts w:cs="Arial"/>
        </w:rPr>
        <w:t>1,1 m nad podlahou</w:t>
      </w:r>
      <w:r w:rsidR="00BE4910">
        <w:rPr>
          <w:rFonts w:cs="Arial"/>
        </w:rPr>
        <w:t xml:space="preserve">. </w:t>
      </w:r>
      <w:r w:rsidR="00C90F7C">
        <w:rPr>
          <w:rFonts w:cs="Arial"/>
        </w:rPr>
        <w:t xml:space="preserve">Pôvodný prestup cez strechu je potrebné </w:t>
      </w:r>
      <w:proofErr w:type="spellStart"/>
      <w:r w:rsidR="00C90F7C">
        <w:rPr>
          <w:rFonts w:cs="Arial"/>
        </w:rPr>
        <w:t>vyspraviť</w:t>
      </w:r>
      <w:proofErr w:type="spellEnd"/>
      <w:r w:rsidR="00C90F7C">
        <w:rPr>
          <w:rFonts w:cs="Arial"/>
        </w:rPr>
        <w:t xml:space="preserve">. </w:t>
      </w:r>
    </w:p>
    <w:p w14:paraId="1FDA0B5E" w14:textId="268CDE3B" w:rsidR="006207CC" w:rsidRPr="00617B49" w:rsidRDefault="006207CC" w:rsidP="006207CC">
      <w:pPr>
        <w:pStyle w:val="Nadpis1"/>
      </w:pPr>
      <w:bookmarkStart w:id="30" w:name="_Toc109590098"/>
      <w:r w:rsidRPr="00617B49">
        <w:t>Zvodné potrubia</w:t>
      </w:r>
      <w:bookmarkEnd w:id="30"/>
    </w:p>
    <w:p w14:paraId="4A49C217" w14:textId="4E186502" w:rsidR="00EC15F7" w:rsidRPr="00C64DFD" w:rsidRDefault="00615ACD" w:rsidP="00EC15F7">
      <w:pPr>
        <w:jc w:val="both"/>
        <w:rPr>
          <w:rFonts w:cs="Arial"/>
        </w:rPr>
      </w:pPr>
      <w:r>
        <w:rPr>
          <w:rFonts w:cs="Arial"/>
        </w:rPr>
        <w:t>Zost</w:t>
      </w:r>
      <w:r w:rsidR="0073728C">
        <w:rPr>
          <w:rFonts w:cs="Arial"/>
        </w:rPr>
        <w:t>ávajú pôvodné. Nemenia sa</w:t>
      </w:r>
      <w:r w:rsidR="008E5F23">
        <w:rPr>
          <w:rFonts w:cs="Arial"/>
        </w:rPr>
        <w:t xml:space="preserve">, pokiaľ </w:t>
      </w:r>
      <w:r w:rsidR="00FD7064">
        <w:rPr>
          <w:rFonts w:cs="Arial"/>
        </w:rPr>
        <w:t>by pri prácach sa zistilo, že potrubia sú v zlom technickom stave je potrebné ich vymeniť.</w:t>
      </w:r>
      <w:r w:rsidR="0073728C">
        <w:rPr>
          <w:rFonts w:cs="Arial"/>
        </w:rPr>
        <w:t xml:space="preserve"> </w:t>
      </w:r>
    </w:p>
    <w:p w14:paraId="399D185D" w14:textId="290FE513" w:rsidR="00FD00B8" w:rsidRPr="00C24540" w:rsidRDefault="00FD00B8" w:rsidP="00FD00B8">
      <w:pPr>
        <w:pStyle w:val="Nadpis1"/>
      </w:pPr>
      <w:bookmarkStart w:id="31" w:name="_Toc109590099"/>
      <w:r w:rsidRPr="00C24540">
        <w:t>Pripájacie potrubia</w:t>
      </w:r>
      <w:bookmarkEnd w:id="31"/>
    </w:p>
    <w:p w14:paraId="61218978" w14:textId="71EF70F1" w:rsidR="00112C5F" w:rsidRPr="00C24540" w:rsidRDefault="00112C5F" w:rsidP="00112C5F">
      <w:pPr>
        <w:jc w:val="both"/>
        <w:rPr>
          <w:rFonts w:cs="Arial"/>
        </w:rPr>
      </w:pPr>
      <w:r w:rsidRPr="00C24540">
        <w:rPr>
          <w:rFonts w:cs="Arial"/>
        </w:rPr>
        <w:t xml:space="preserve">Materiál potrubí v interiéri bude použitý PP a bude spájaný hrdlovými spojmi. Potrubia vedené v podlahe musia byť min. spáde 3% pokiaľ je to možné a ohýbané 45° tvarovkami. </w:t>
      </w:r>
      <w:r w:rsidR="004E1566">
        <w:rPr>
          <w:rFonts w:cs="Arial"/>
        </w:rPr>
        <w:t xml:space="preserve">Všetky zriaďovacie predmety musia byť napojené cez zápachovú uzávierku. </w:t>
      </w:r>
      <w:r w:rsidR="0092359E">
        <w:rPr>
          <w:rFonts w:cs="Arial"/>
        </w:rPr>
        <w:t xml:space="preserve">V miestnosti WC </w:t>
      </w:r>
      <w:r w:rsidR="00AB76D8">
        <w:rPr>
          <w:rFonts w:cs="Arial"/>
        </w:rPr>
        <w:t xml:space="preserve">je navrhované osadenie podlahového vpustu DN50 z mechanickou zápachovou uzávierkou. </w:t>
      </w:r>
    </w:p>
    <w:p w14:paraId="09A1837B" w14:textId="7B685DAB" w:rsidR="00382DAF" w:rsidRPr="00B14CDE" w:rsidRDefault="00382DAF" w:rsidP="00382DAF">
      <w:pPr>
        <w:pStyle w:val="Nadpis1"/>
      </w:pPr>
      <w:bookmarkStart w:id="32" w:name="_Toc109590100"/>
      <w:r w:rsidRPr="00B14CDE">
        <w:t>Dažďová kanalizácia</w:t>
      </w:r>
      <w:bookmarkEnd w:id="32"/>
    </w:p>
    <w:p w14:paraId="14F20320" w14:textId="2CD87C0B" w:rsidR="00B554E9" w:rsidRDefault="007C63E2" w:rsidP="00112C5F">
      <w:pPr>
        <w:jc w:val="both"/>
      </w:pPr>
      <w:r>
        <w:t>Nemení sa</w:t>
      </w:r>
      <w:r w:rsidR="00AB76D8">
        <w:t xml:space="preserve">, nakoľko </w:t>
      </w:r>
      <w:r w:rsidR="00B21A0F">
        <w:t xml:space="preserve">plocha strechy ostáva pôvodná. Pôvodný ako aj rekonštruovaný objekt majú 3 dažďové zvody D1-3. </w:t>
      </w:r>
      <w:r w:rsidR="00D54DFF">
        <w:t>Typ strechy je plochá nepriepustná s vonkajšími dažďovými zvodmi.</w:t>
      </w:r>
    </w:p>
    <w:p w14:paraId="53B9A6AD" w14:textId="211957F0" w:rsidR="00B21A0F" w:rsidRDefault="00B21A0F" w:rsidP="00112C5F">
      <w:pPr>
        <w:jc w:val="both"/>
      </w:pPr>
      <w:r>
        <w:t xml:space="preserve">D1 </w:t>
      </w:r>
      <w:r w:rsidR="004331AC">
        <w:t>je zvedený do existujúceho vsakovacieho objektu, ktorý sa nemení. D2-3 sú vyvedené na terén</w:t>
      </w:r>
      <w:r w:rsidR="00366F68">
        <w:t xml:space="preserve">, preto je navrhovaná rekonštrukcia D2-3 odviesť do </w:t>
      </w:r>
      <w:proofErr w:type="spellStart"/>
      <w:r w:rsidR="00366F68">
        <w:t>vsakovacích</w:t>
      </w:r>
      <w:proofErr w:type="spellEnd"/>
      <w:r w:rsidR="00366F68">
        <w:t xml:space="preserve"> objektov </w:t>
      </w:r>
      <w:r w:rsidR="00050C52">
        <w:t xml:space="preserve">pod spevnenou plochou. </w:t>
      </w:r>
    </w:p>
    <w:p w14:paraId="644F4343" w14:textId="081B7D61" w:rsidR="00050C52" w:rsidRDefault="00050C52" w:rsidP="00112C5F">
      <w:pPr>
        <w:jc w:val="both"/>
      </w:pPr>
      <w:r>
        <w:t xml:space="preserve">Do dažďový zvodov D2-3 sa pridá strieška nad vstupom, ktorá pôvodne bola odvodnená </w:t>
      </w:r>
      <w:r w:rsidR="00B22B55">
        <w:t xml:space="preserve">pultovou strechou na terén do vstupu. </w:t>
      </w:r>
    </w:p>
    <w:p w14:paraId="21A59B60" w14:textId="694680FF" w:rsidR="00D54DFF" w:rsidRDefault="00D54DFF" w:rsidP="00112C5F">
      <w:pPr>
        <w:jc w:val="both"/>
      </w:pPr>
    </w:p>
    <w:p w14:paraId="0210E2B3" w14:textId="77777777" w:rsidR="0000434B" w:rsidRDefault="00D54DFF" w:rsidP="00112C5F">
      <w:pPr>
        <w:jc w:val="both"/>
      </w:pPr>
      <w:r>
        <w:t>Navrhovan</w:t>
      </w:r>
      <w:r w:rsidR="00176741">
        <w:t xml:space="preserve">ý je </w:t>
      </w:r>
      <w:proofErr w:type="spellStart"/>
      <w:r w:rsidR="00176741">
        <w:t>vsakovací</w:t>
      </w:r>
      <w:proofErr w:type="spellEnd"/>
      <w:r w:rsidR="00176741">
        <w:t xml:space="preserve"> objekt </w:t>
      </w:r>
      <w:r w:rsidR="0063367E">
        <w:t xml:space="preserve">VO-1,2 </w:t>
      </w:r>
      <w:r w:rsidR="00D07C45">
        <w:t>o rozmere š600</w:t>
      </w:r>
      <w:r w:rsidR="00CF2C4C">
        <w:t>*</w:t>
      </w:r>
      <w:r w:rsidR="008D2F4F">
        <w:t>d1200</w:t>
      </w:r>
      <w:r w:rsidR="00CF2C4C">
        <w:t>*v600 mm</w:t>
      </w:r>
      <w:r w:rsidR="00D956CC">
        <w:t xml:space="preserve">. </w:t>
      </w:r>
    </w:p>
    <w:p w14:paraId="50CFAFA5" w14:textId="24474EA8" w:rsidR="00D54DFF" w:rsidRDefault="00497089" w:rsidP="00112C5F">
      <w:pPr>
        <w:jc w:val="both"/>
      </w:pPr>
      <w:r>
        <w:t>Výko</w:t>
      </w:r>
      <w:r w:rsidR="0000434B">
        <w:t>p</w:t>
      </w:r>
      <w:r>
        <w:t xml:space="preserve"> vsakovacieho objektu treba opatriť </w:t>
      </w:r>
      <w:proofErr w:type="spellStart"/>
      <w:r>
        <w:t>geotextíliou</w:t>
      </w:r>
      <w:proofErr w:type="spellEnd"/>
      <w:r w:rsidR="00902AB3">
        <w:t xml:space="preserve">, výplň </w:t>
      </w:r>
      <w:proofErr w:type="spellStart"/>
      <w:r w:rsidR="00902AB3">
        <w:t>vsaku</w:t>
      </w:r>
      <w:proofErr w:type="spellEnd"/>
      <w:r w:rsidR="00902AB3">
        <w:t xml:space="preserve"> je riečny štrk frakcie 32-64 mm</w:t>
      </w:r>
      <w:r w:rsidR="0000434B">
        <w:t xml:space="preserve">. </w:t>
      </w:r>
    </w:p>
    <w:p w14:paraId="5EA14B56" w14:textId="09F7517B" w:rsidR="00AA5F03" w:rsidRDefault="00AA5F03" w:rsidP="00112C5F">
      <w:pPr>
        <w:jc w:val="both"/>
      </w:pPr>
      <w:r>
        <w:t>Alternatív</w:t>
      </w:r>
      <w:r w:rsidR="00F94794">
        <w:t xml:space="preserve">ne riešenie </w:t>
      </w:r>
      <w:r>
        <w:t xml:space="preserve">je riešiť vsakovanie pomocou </w:t>
      </w:r>
      <w:proofErr w:type="spellStart"/>
      <w:r>
        <w:t>vsakovacích</w:t>
      </w:r>
      <w:proofErr w:type="spellEnd"/>
      <w:r>
        <w:t xml:space="preserve"> blokov. </w:t>
      </w:r>
      <w:r w:rsidR="00F94794">
        <w:t xml:space="preserve">Orientačný prepočet je viď. príloha TS. </w:t>
      </w:r>
    </w:p>
    <w:p w14:paraId="3FBD52F9" w14:textId="77777777" w:rsidR="00AA5F03" w:rsidRDefault="00AA5F03" w:rsidP="00112C5F">
      <w:pPr>
        <w:jc w:val="both"/>
      </w:pPr>
    </w:p>
    <w:p w14:paraId="33A2BB9F" w14:textId="225D4F5D" w:rsidR="00AA5F03" w:rsidRPr="00F94794" w:rsidRDefault="00AA5F03" w:rsidP="00112C5F">
      <w:pPr>
        <w:jc w:val="both"/>
        <w:rPr>
          <w:rFonts w:cs="Arial"/>
          <w:b/>
          <w:i/>
        </w:rPr>
      </w:pPr>
      <w:r w:rsidRPr="00231814">
        <w:rPr>
          <w:rFonts w:cs="Arial"/>
          <w:b/>
          <w:i/>
        </w:rPr>
        <w:t>PRED REALIZÁCIOU VSAKOVANIA JE NUTNÉ VYKONAŤ SKÚŠKU RÝCHLOSTI VSAKOVANIA A VSAKOVACÍ SYSTÉM PREKONZULTOVAŤ S DODÁVATEĽOM VSAKOVANIA!!!!</w:t>
      </w:r>
    </w:p>
    <w:p w14:paraId="0C48A6E9" w14:textId="77777777" w:rsidR="006B7667" w:rsidRPr="00C10ED4" w:rsidRDefault="006B7667" w:rsidP="006B7667">
      <w:pPr>
        <w:pStyle w:val="Nadpis1"/>
      </w:pPr>
      <w:bookmarkStart w:id="33" w:name="_Toc109590101"/>
      <w:r w:rsidRPr="00C10ED4">
        <w:t>Tlaková skúška</w:t>
      </w:r>
      <w:bookmarkEnd w:id="33"/>
    </w:p>
    <w:p w14:paraId="5A37F5EF" w14:textId="77777777" w:rsidR="006B7667" w:rsidRPr="00C10ED4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 xml:space="preserve">Po uložení a výškovom osadení potrubia do ryhy, pred realizáciou </w:t>
      </w:r>
      <w:proofErr w:type="spellStart"/>
      <w:r w:rsidRPr="00C10ED4">
        <w:rPr>
          <w:rFonts w:cs="Arial"/>
          <w:bCs/>
        </w:rPr>
        <w:t>obsypu</w:t>
      </w:r>
      <w:proofErr w:type="spellEnd"/>
      <w:r w:rsidRPr="00C10ED4">
        <w:rPr>
          <w:rFonts w:cs="Arial"/>
          <w:bCs/>
        </w:rPr>
        <w:t xml:space="preserve"> a spätného zásypu je nutné vykonať vizuálnu aj tlakovú skúšku vodotesnosti potrubia podľa STN EN 1610.</w:t>
      </w:r>
    </w:p>
    <w:p w14:paraId="2FE2C1FE" w14:textId="77777777" w:rsidR="006B7667" w:rsidRPr="00C10ED4" w:rsidRDefault="006B7667" w:rsidP="006B7667">
      <w:pPr>
        <w:jc w:val="both"/>
        <w:rPr>
          <w:rFonts w:cs="Arial"/>
          <w:bCs/>
          <w:i/>
        </w:rPr>
      </w:pPr>
    </w:p>
    <w:p w14:paraId="293903E4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/>
          <w:bCs/>
          <w:i/>
        </w:rPr>
        <w:t>Vizuálna kontrola:</w:t>
      </w:r>
    </w:p>
    <w:p w14:paraId="0B571AC6" w14:textId="77777777" w:rsidR="006B7667" w:rsidRPr="00C10ED4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>Vizuálnou kontrolou sa zisťujú viditeľné poškodenia, správnosť uloženia a montáže potrubí. Je potrebné skontrolovať:</w:t>
      </w:r>
    </w:p>
    <w:p w14:paraId="27AAC259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smer a výškovú polohu potrubí,</w:t>
      </w:r>
    </w:p>
    <w:p w14:paraId="5CEE8E72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správnosť montáže spojov,</w:t>
      </w:r>
    </w:p>
    <w:p w14:paraId="46DB9B82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poškodenie alebo deformácie,</w:t>
      </w:r>
    </w:p>
    <w:p w14:paraId="71E999DF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správnosť pripojenia.</w:t>
      </w:r>
    </w:p>
    <w:p w14:paraId="29C10370" w14:textId="77777777" w:rsidR="006B7667" w:rsidRPr="00C10ED4" w:rsidRDefault="006B7667" w:rsidP="006B7667">
      <w:pPr>
        <w:ind w:firstLine="567"/>
        <w:jc w:val="both"/>
        <w:rPr>
          <w:rFonts w:cs="Arial"/>
          <w:bCs/>
        </w:rPr>
      </w:pPr>
    </w:p>
    <w:p w14:paraId="6CADAA3D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/>
          <w:bCs/>
          <w:i/>
        </w:rPr>
        <w:t>Tlaková kontrola:</w:t>
      </w:r>
    </w:p>
    <w:p w14:paraId="5D68DC19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Cs/>
        </w:rPr>
        <w:t>Keď neboli pri vizuálnej kontrole zistené žiadne chyby alebo poškodenia, môže sa pristúpiť k tlakovej kontrole. Je navrhnuté skúšanie vodou. Potrubia aj vstupné šachty sa naplnia vodou po úroveň terénu a tesnosť spojov sa preskúša tlakom v rozmedzí 10 – 50kPa meraným vo vrchole rúry. Skúška má trvať 30 +- 1 min. Tlak sa musí udržiavať v rozmedzí 1kPa na úrovni skúšobného tlaku. Celkové množstvo vody doplnené počas skúšky na dosiahnutie tejto požiadavky sa musí zaznamenať.</w:t>
      </w:r>
    </w:p>
    <w:p w14:paraId="1AD08154" w14:textId="77777777" w:rsidR="006B7667" w:rsidRPr="00C10ED4" w:rsidRDefault="006B7667" w:rsidP="006B7667">
      <w:pPr>
        <w:jc w:val="both"/>
        <w:rPr>
          <w:rFonts w:cs="Arial"/>
          <w:bCs/>
        </w:rPr>
      </w:pPr>
    </w:p>
    <w:p w14:paraId="4BFE299D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Cs/>
        </w:rPr>
        <w:t>Skúšobná požiadavka je splnená, ak doplnené množstvo vody nie je väčšie ako:</w:t>
      </w:r>
    </w:p>
    <w:p w14:paraId="708F4B6B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0,15 l/m2 za 30 min. pre potrubia,</w:t>
      </w:r>
    </w:p>
    <w:p w14:paraId="444D2A7A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0,20 l/m2 za 30 min. pre potrubia vrátane vstupných šácht,</w:t>
      </w:r>
    </w:p>
    <w:p w14:paraId="5F6365A8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0,40 l/m2 za 30 min. pre vstupné šachty a revízne komory pričom v m</w:t>
      </w:r>
      <w:r w:rsidRPr="00C10ED4">
        <w:rPr>
          <w:rFonts w:cs="Arial"/>
          <w:vertAlign w:val="superscript"/>
        </w:rPr>
        <w:t>2</w:t>
      </w:r>
      <w:r w:rsidRPr="00C10ED4">
        <w:rPr>
          <w:rFonts w:cs="Arial"/>
        </w:rPr>
        <w:t xml:space="preserve"> sa udáva omočený vnútorný povrch.</w:t>
      </w:r>
    </w:p>
    <w:p w14:paraId="033FC7FC" w14:textId="77777777" w:rsidR="006B7667" w:rsidRPr="00C10ED4" w:rsidRDefault="006B7667" w:rsidP="006B7667">
      <w:pPr>
        <w:jc w:val="both"/>
        <w:rPr>
          <w:rFonts w:cs="Arial"/>
        </w:rPr>
      </w:pPr>
    </w:p>
    <w:p w14:paraId="40E7BBE1" w14:textId="77777777" w:rsidR="006B7667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>Tesnosť bude skúšaná na potrubí navrhovanej kanalizácie vrátane pripojení na vstupné šachty, úseky existujúcej kanalizácie v ktorých budú vybudované nové šachty vrátane pripojenia potrubia na existujúce a nové šachty podľa normy STN EN 1610 – Stavba a skúšanie kanalizačných potrubí a stôk.</w:t>
      </w:r>
    </w:p>
    <w:p w14:paraId="151F7C76" w14:textId="77777777" w:rsidR="006B7667" w:rsidRPr="0022145C" w:rsidRDefault="006B7667" w:rsidP="006B7667">
      <w:pPr>
        <w:pStyle w:val="Nadpis1"/>
      </w:pPr>
      <w:bookmarkStart w:id="34" w:name="_Toc109590102"/>
      <w:r w:rsidRPr="0022145C">
        <w:t>Zemné práce</w:t>
      </w:r>
      <w:bookmarkEnd w:id="34"/>
    </w:p>
    <w:p w14:paraId="73F67D8D" w14:textId="77777777" w:rsidR="006B7667" w:rsidRPr="0022145C" w:rsidRDefault="006B7667" w:rsidP="006B7667">
      <w:pPr>
        <w:jc w:val="both"/>
        <w:rPr>
          <w:sz w:val="24"/>
        </w:rPr>
      </w:pPr>
      <w:r w:rsidRPr="0022145C">
        <w:t>Zemné práce je potrebné realizovať podľa STN 73 3050 – Zemné práce. Trasa zohľadňuje požiadavky STN 73 6005 – Priestorová úprava vedení technického vybavenia.</w:t>
      </w:r>
    </w:p>
    <w:p w14:paraId="523B7D63" w14:textId="77777777" w:rsidR="006B7667" w:rsidRPr="0022145C" w:rsidRDefault="006B7667" w:rsidP="006B7667">
      <w:pPr>
        <w:jc w:val="both"/>
      </w:pPr>
    </w:p>
    <w:p w14:paraId="4F461FD9" w14:textId="77777777" w:rsidR="006B7667" w:rsidRPr="0022145C" w:rsidRDefault="006B7667" w:rsidP="006B7667">
      <w:pPr>
        <w:jc w:val="both"/>
        <w:rPr>
          <w:sz w:val="24"/>
        </w:rPr>
      </w:pPr>
      <w:r w:rsidRPr="0022145C">
        <w:t>Počas výstavby musí byť dno ryhy suché. Pri výskyte podzemnej vody nad úrovňou dna stavebnej ryhy je potrebné znížiť jej hladinu pod úroveň základovej škáry a až potom zahájiť práce spojené s uložením potrubia vrátane jeho zásypu. V prípade potreby je nutné vodu odviesť odvodňovacími drenážami do čerpacích studní a vodu odčerpávať.</w:t>
      </w:r>
    </w:p>
    <w:p w14:paraId="50409C5A" w14:textId="77777777" w:rsidR="006B7667" w:rsidRPr="0022145C" w:rsidRDefault="006B7667" w:rsidP="006B7667">
      <w:pPr>
        <w:jc w:val="both"/>
        <w:rPr>
          <w:sz w:val="24"/>
        </w:rPr>
      </w:pPr>
      <w:r w:rsidRPr="0022145C">
        <w:t>Pri križovaní s podzemnými vedeniami ako aj v súbehu s nimi je potrebné rešpektovať ich ochranné pásma v zmysle platných STN a požiadaviek správcov jednotlivých vedení.</w:t>
      </w:r>
    </w:p>
    <w:p w14:paraId="59BAFE56" w14:textId="77777777" w:rsidR="006B7667" w:rsidRPr="0022145C" w:rsidRDefault="006B7667" w:rsidP="006B7667">
      <w:pPr>
        <w:jc w:val="both"/>
        <w:rPr>
          <w:sz w:val="24"/>
        </w:rPr>
      </w:pPr>
      <w:r w:rsidRPr="0022145C">
        <w:t>Investor zabezpečí pred samotným začiatkom zemných prác vytýčenie všetkých podzemných vedení nachádzajúcich sa na stavenisku (aj tie ktoré mohli byť vybudované v dobe medzi spracovaním projektu a termínom začiatku výstavby). V projektovej dokumentácii sú zakreslené len orientačne.</w:t>
      </w:r>
    </w:p>
    <w:p w14:paraId="75BC1AAE" w14:textId="77777777" w:rsidR="006B7667" w:rsidRPr="0022145C" w:rsidRDefault="006B7667" w:rsidP="006B7667">
      <w:pPr>
        <w:pStyle w:val="Nadpis1"/>
      </w:pPr>
      <w:bookmarkStart w:id="35" w:name="_Toc109590103"/>
      <w:r w:rsidRPr="0022145C">
        <w:t>Uloženie potrubia</w:t>
      </w:r>
      <w:bookmarkEnd w:id="35"/>
    </w:p>
    <w:p w14:paraId="4C588590" w14:textId="77777777" w:rsidR="006B7667" w:rsidRPr="0022145C" w:rsidRDefault="006B7667" w:rsidP="006B7667">
      <w:pPr>
        <w:jc w:val="both"/>
      </w:pPr>
      <w:r w:rsidRPr="0022145C">
        <w:t xml:space="preserve">Potrubie stôk a prípojok do profilu DN400 sa ukladá na 10 cm pieskové alebo štrkopieskové zhutnené lôžko s max zrnom 0-16 mm. Do výšky 70 % vonkajšieho priemeru sa vykoná primárny zhutnený obsyp z piesku alebo štrkopiesku s max. zrnom 0-20 mm. Do výšky 30 cm nad potrubie sa vykoná sekundárny zhutnený zásyp z piesku alebo štrkopiesku s max. zrnom 0-20 mm, pričom nad rúrou sa nezhutňuje. </w:t>
      </w:r>
    </w:p>
    <w:p w14:paraId="7B08C4FE" w14:textId="77777777" w:rsidR="006B7667" w:rsidRPr="001500B2" w:rsidRDefault="006B7667" w:rsidP="006B7667">
      <w:pPr>
        <w:jc w:val="both"/>
      </w:pPr>
      <w:r w:rsidRPr="0022145C">
        <w:t xml:space="preserve">Po úroveň upraveného terénu, resp. cestnej pláne sa vykoná zhutnený zásyp zo </w:t>
      </w:r>
      <w:proofErr w:type="spellStart"/>
      <w:r w:rsidRPr="0022145C">
        <w:t>zhutniteľného</w:t>
      </w:r>
      <w:proofErr w:type="spellEnd"/>
      <w:r w:rsidRPr="0022145C">
        <w:t xml:space="preserve"> materiálu. Po úroveň upraveného terénu, resp. cestnej pláne sa vykoná zhutnený zásyp zo </w:t>
      </w:r>
      <w:proofErr w:type="spellStart"/>
      <w:r w:rsidRPr="0022145C">
        <w:t>zhutniteľného</w:t>
      </w:r>
      <w:proofErr w:type="spellEnd"/>
      <w:r w:rsidRPr="0022145C">
        <w:t xml:space="preserve"> materiálu. Lôžko a obsyp potrubia sa vykoná podľa čl. 6 STN 73 6734. Minimálna miera zhutnenia lôžka a </w:t>
      </w:r>
      <w:proofErr w:type="spellStart"/>
      <w:r w:rsidRPr="0022145C">
        <w:t>obsypov</w:t>
      </w:r>
      <w:proofErr w:type="spellEnd"/>
      <w:r w:rsidRPr="0022145C">
        <w:t xml:space="preserve"> potrubí: ID = 0,8. Materiál lôžka a </w:t>
      </w:r>
      <w:proofErr w:type="spellStart"/>
      <w:r w:rsidRPr="0022145C">
        <w:t>obsypu</w:t>
      </w:r>
      <w:proofErr w:type="spellEnd"/>
      <w:r w:rsidRPr="0022145C">
        <w:t xml:space="preserve"> musí vyhovovať C</w:t>
      </w:r>
      <w:r w:rsidRPr="0022145C">
        <w:rPr>
          <w:vertAlign w:val="subscript"/>
        </w:rPr>
        <w:t>u</w:t>
      </w:r>
      <w:r w:rsidRPr="0022145C">
        <w:t xml:space="preserve"> ≥ 15, max zrno 16 mm.</w:t>
      </w:r>
    </w:p>
    <w:p w14:paraId="1A7A42C1" w14:textId="77777777" w:rsidR="006B7667" w:rsidRDefault="006B7667" w:rsidP="006B7667">
      <w:pPr>
        <w:pStyle w:val="Nadpis1"/>
      </w:pPr>
      <w:bookmarkStart w:id="36" w:name="_Toc109590104"/>
      <w:r>
        <w:t>Bezpečnosť a ochrana zdravia pri práci</w:t>
      </w:r>
      <w:bookmarkEnd w:id="36"/>
    </w:p>
    <w:p w14:paraId="5F5FB0F7" w14:textId="77777777" w:rsidR="006B7667" w:rsidRDefault="006B7667" w:rsidP="006B7667">
      <w:pPr>
        <w:suppressAutoHyphens/>
        <w:jc w:val="both"/>
        <w:rPr>
          <w:rFonts w:cs="Arial"/>
        </w:rPr>
      </w:pPr>
      <w:r w:rsidRPr="00C70F1F">
        <w:rPr>
          <w:rFonts w:cs="Arial"/>
        </w:rPr>
        <w:t>Zemné práce realizovať podľa STN 73</w:t>
      </w:r>
      <w:r>
        <w:rPr>
          <w:rFonts w:cs="Arial"/>
        </w:rPr>
        <w:t xml:space="preserve"> </w:t>
      </w:r>
      <w:r w:rsidRPr="00C70F1F">
        <w:rPr>
          <w:rFonts w:cs="Arial"/>
        </w:rPr>
        <w:t>3050. Pri stavebných prácach je potrebné dodržať ustanovenia vyhlášky č. 374/1990 Zb. Slovenského úradu bezpečnosti práce a Slovenského banského úradu o bezpečnosti práce a technických zariadení pri stavebných prácach.</w:t>
      </w:r>
      <w:r>
        <w:rPr>
          <w:rFonts w:cs="Arial"/>
        </w:rPr>
        <w:t xml:space="preserve"> </w:t>
      </w:r>
      <w:r w:rsidRPr="0031699B">
        <w:rPr>
          <w:rFonts w:cs="Arial"/>
        </w:rPr>
        <w:t>Križovanie a súbeh podzemných vedení realizovať podľa  STN 73</w:t>
      </w:r>
      <w:r>
        <w:rPr>
          <w:rFonts w:cs="Arial"/>
        </w:rPr>
        <w:t xml:space="preserve"> </w:t>
      </w:r>
      <w:r w:rsidRPr="0031699B">
        <w:rPr>
          <w:rFonts w:cs="Arial"/>
        </w:rPr>
        <w:t>6005.</w:t>
      </w:r>
      <w:r>
        <w:rPr>
          <w:rFonts w:cs="Arial"/>
        </w:rPr>
        <w:t xml:space="preserve"> </w:t>
      </w:r>
      <w:r w:rsidRPr="0031699B">
        <w:rPr>
          <w:rFonts w:cs="Arial"/>
        </w:rPr>
        <w:t>Pred zahájením výkopových prác je potrebné zabezpečiť vytýčenie jestvujúcich podzemných inžinierskych sietí. Pri realizácii je potrebné dodržať všetky odstupové vzdialenosti jednotlivých sietí medzi sebou ako aj od objektu.</w:t>
      </w:r>
    </w:p>
    <w:p w14:paraId="1C85DAD7" w14:textId="56292154" w:rsidR="006B7667" w:rsidRDefault="006B7667" w:rsidP="003A3745">
      <w:pPr>
        <w:jc w:val="both"/>
        <w:rPr>
          <w:rFonts w:cs="Arial"/>
        </w:rPr>
      </w:pPr>
    </w:p>
    <w:p w14:paraId="43568FCC" w14:textId="77777777" w:rsidR="006B7667" w:rsidRPr="00C10ED4" w:rsidRDefault="006B7667" w:rsidP="006B7667">
      <w:pPr>
        <w:pStyle w:val="Nadpis1"/>
      </w:pPr>
      <w:bookmarkStart w:id="37" w:name="_Toc109590105"/>
      <w:r w:rsidRPr="00C10ED4">
        <w:t>Tlaková skúška</w:t>
      </w:r>
      <w:bookmarkEnd w:id="37"/>
    </w:p>
    <w:p w14:paraId="6AD74D90" w14:textId="77777777" w:rsidR="006B7667" w:rsidRPr="00C10ED4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 xml:space="preserve">Po uložení a výškovom osadení potrubia do ryhy, pred realizáciou </w:t>
      </w:r>
      <w:proofErr w:type="spellStart"/>
      <w:r w:rsidRPr="00C10ED4">
        <w:rPr>
          <w:rFonts w:cs="Arial"/>
          <w:bCs/>
        </w:rPr>
        <w:t>obsypu</w:t>
      </w:r>
      <w:proofErr w:type="spellEnd"/>
      <w:r w:rsidRPr="00C10ED4">
        <w:rPr>
          <w:rFonts w:cs="Arial"/>
          <w:bCs/>
        </w:rPr>
        <w:t xml:space="preserve"> a spätného zásypu je nutné vykonať vizuálnu aj tlakovú skúšku vodotesnosti potrubia podľa STN EN 1610.</w:t>
      </w:r>
    </w:p>
    <w:p w14:paraId="60C77FF3" w14:textId="77777777" w:rsidR="006B7667" w:rsidRPr="00C10ED4" w:rsidRDefault="006B7667" w:rsidP="006B7667">
      <w:pPr>
        <w:jc w:val="both"/>
        <w:rPr>
          <w:rFonts w:cs="Arial"/>
          <w:bCs/>
          <w:i/>
        </w:rPr>
      </w:pPr>
    </w:p>
    <w:p w14:paraId="60848A2E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/>
          <w:bCs/>
          <w:i/>
        </w:rPr>
        <w:t>Vizuálna kontrola:</w:t>
      </w:r>
    </w:p>
    <w:p w14:paraId="57B5FF0B" w14:textId="77777777" w:rsidR="006B7667" w:rsidRPr="00C10ED4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>Vizuálnou kontrolou sa zisťujú viditeľné poškodenia, správnosť uloženia a montáže potrubí. Je potrebné skontrolovať:</w:t>
      </w:r>
    </w:p>
    <w:p w14:paraId="7C063E41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smer a výškovú polohu potrubí,</w:t>
      </w:r>
    </w:p>
    <w:p w14:paraId="168F4E15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správnosť montáže spojov,</w:t>
      </w:r>
    </w:p>
    <w:p w14:paraId="12B348E2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poškodenie alebo deformácie,</w:t>
      </w:r>
    </w:p>
    <w:p w14:paraId="02FFC3FF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správnosť pripojenia.</w:t>
      </w:r>
    </w:p>
    <w:p w14:paraId="290EC277" w14:textId="77777777" w:rsidR="006B7667" w:rsidRPr="00C10ED4" w:rsidRDefault="006B7667" w:rsidP="006B7667">
      <w:pPr>
        <w:ind w:firstLine="567"/>
        <w:jc w:val="both"/>
        <w:rPr>
          <w:rFonts w:cs="Arial"/>
          <w:bCs/>
        </w:rPr>
      </w:pPr>
    </w:p>
    <w:p w14:paraId="364704E2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/>
          <w:bCs/>
          <w:i/>
        </w:rPr>
        <w:t>Tlaková kontrola:</w:t>
      </w:r>
    </w:p>
    <w:p w14:paraId="5D931EAD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Cs/>
        </w:rPr>
        <w:t>Keď neboli pri vizuálnej kontrole zistené žiadne chyby alebo poškodenia, môže sa pristúpiť k tlakovej kontrole. Je navrhnuté skúšanie vodou. Potrubia aj vstupné šachty sa naplnia vodou po úroveň terénu a tesnosť spojov sa preskúša tlakom v rozmedzí 10 – 50kPa meraným vo vrchole rúry. Skúška má trvať 30 +- 1 min. Tlak sa musí udržiavať v rozmedzí 1kPa na úrovni skúšobného tlaku. Celkové množstvo vody doplnené počas skúšky na dosiahnutie tejto požiadavky sa musí zaznamenať.</w:t>
      </w:r>
    </w:p>
    <w:p w14:paraId="700CC51C" w14:textId="77777777" w:rsidR="006B7667" w:rsidRPr="00C10ED4" w:rsidRDefault="006B7667" w:rsidP="006B7667">
      <w:pPr>
        <w:jc w:val="both"/>
        <w:rPr>
          <w:rFonts w:cs="Arial"/>
          <w:bCs/>
        </w:rPr>
      </w:pPr>
    </w:p>
    <w:p w14:paraId="34F2C373" w14:textId="77777777" w:rsidR="006B7667" w:rsidRPr="00C10ED4" w:rsidRDefault="006B7667" w:rsidP="006B7667">
      <w:pPr>
        <w:jc w:val="both"/>
        <w:rPr>
          <w:rFonts w:cs="Arial"/>
          <w:b/>
          <w:bCs/>
          <w:i/>
        </w:rPr>
      </w:pPr>
      <w:r w:rsidRPr="00C10ED4">
        <w:rPr>
          <w:rFonts w:cs="Arial"/>
          <w:bCs/>
        </w:rPr>
        <w:t>Skúšobná požiadavka je splnená, ak doplnené množstvo vody nie je väčšie ako:</w:t>
      </w:r>
    </w:p>
    <w:p w14:paraId="6040EB6A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lastRenderedPageBreak/>
        <w:t>0,15 l/m2 za 30 min. pre potrubia,</w:t>
      </w:r>
    </w:p>
    <w:p w14:paraId="35943D24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0,20 l/m2 za 30 min. pre potrubia vrátane vstupných šácht,</w:t>
      </w:r>
    </w:p>
    <w:p w14:paraId="12FA5CAE" w14:textId="77777777" w:rsidR="006B7667" w:rsidRPr="00C10ED4" w:rsidRDefault="006B7667" w:rsidP="006B7667">
      <w:pPr>
        <w:numPr>
          <w:ilvl w:val="0"/>
          <w:numId w:val="6"/>
        </w:numPr>
        <w:suppressAutoHyphens/>
        <w:jc w:val="both"/>
        <w:rPr>
          <w:rFonts w:cs="Arial"/>
        </w:rPr>
      </w:pPr>
      <w:r w:rsidRPr="00C10ED4">
        <w:rPr>
          <w:rFonts w:cs="Arial"/>
        </w:rPr>
        <w:t>0,40 l/m2 za 30 min. pre vstupné šachty a revízne komory pričom v m</w:t>
      </w:r>
      <w:r w:rsidRPr="00C10ED4">
        <w:rPr>
          <w:rFonts w:cs="Arial"/>
          <w:vertAlign w:val="superscript"/>
        </w:rPr>
        <w:t>2</w:t>
      </w:r>
      <w:r w:rsidRPr="00C10ED4">
        <w:rPr>
          <w:rFonts w:cs="Arial"/>
        </w:rPr>
        <w:t xml:space="preserve"> sa udáva omočený vnútorný povrch.</w:t>
      </w:r>
    </w:p>
    <w:p w14:paraId="29C24772" w14:textId="77777777" w:rsidR="006B7667" w:rsidRPr="00C10ED4" w:rsidRDefault="006B7667" w:rsidP="006B7667">
      <w:pPr>
        <w:jc w:val="both"/>
        <w:rPr>
          <w:rFonts w:cs="Arial"/>
        </w:rPr>
      </w:pPr>
    </w:p>
    <w:p w14:paraId="1D3B97CA" w14:textId="77777777" w:rsidR="006B7667" w:rsidRDefault="006B7667" w:rsidP="006B7667">
      <w:pPr>
        <w:jc w:val="both"/>
        <w:rPr>
          <w:rFonts w:cs="Arial"/>
          <w:bCs/>
        </w:rPr>
      </w:pPr>
      <w:r w:rsidRPr="00C10ED4">
        <w:rPr>
          <w:rFonts w:cs="Arial"/>
          <w:bCs/>
        </w:rPr>
        <w:t>Tesnosť bude skúšaná na potrubí navrhovanej kanalizácie vrátane pripojení na vstupné šachty, úseky existujúcej kanalizácie v ktorých budú vybudované nové šachty vrátane pripojenia potrubia na existujúce a nové šachty podľa normy STN EN 1610 – Stavba a skúšanie kanalizačných potrubí a stôk.</w:t>
      </w:r>
    </w:p>
    <w:p w14:paraId="123ADCC7" w14:textId="77777777" w:rsidR="006B7667" w:rsidRPr="0022145C" w:rsidRDefault="006B7667" w:rsidP="006B7667">
      <w:pPr>
        <w:pStyle w:val="Nadpis1"/>
      </w:pPr>
      <w:bookmarkStart w:id="38" w:name="_Toc109590106"/>
      <w:r w:rsidRPr="0022145C">
        <w:t>Zemné práce</w:t>
      </w:r>
      <w:bookmarkEnd w:id="38"/>
    </w:p>
    <w:p w14:paraId="77348133" w14:textId="77777777" w:rsidR="006B7667" w:rsidRPr="0022145C" w:rsidRDefault="006B7667" w:rsidP="006B7667">
      <w:pPr>
        <w:jc w:val="both"/>
        <w:rPr>
          <w:sz w:val="24"/>
        </w:rPr>
      </w:pPr>
      <w:r w:rsidRPr="0022145C">
        <w:t>Zemné práce je potrebné realizovať podľa STN 73 3050 – Zemné práce. Trasa zohľadňuje požiadavky STN 73 6005 – Priestorová úprava vedení technického vybavenia.</w:t>
      </w:r>
    </w:p>
    <w:p w14:paraId="344D8999" w14:textId="77777777" w:rsidR="006B7667" w:rsidRPr="0022145C" w:rsidRDefault="006B7667" w:rsidP="006B7667">
      <w:pPr>
        <w:jc w:val="both"/>
      </w:pPr>
    </w:p>
    <w:p w14:paraId="1DA48707" w14:textId="77777777" w:rsidR="006B7667" w:rsidRPr="0022145C" w:rsidRDefault="006B7667" w:rsidP="006B7667">
      <w:pPr>
        <w:jc w:val="both"/>
        <w:rPr>
          <w:sz w:val="24"/>
        </w:rPr>
      </w:pPr>
      <w:r w:rsidRPr="0022145C">
        <w:t>Počas výstavby musí byť dno ryhy suché. Pri výskyte podzemnej vody nad úrovňou dna stavebnej ryhy je potrebné znížiť jej hladinu pod úroveň základovej škáry a až potom zahájiť práce spojené s uložením potrubia vrátane jeho zásypu. V prípade potreby je nutné vodu odviesť odvodňovacími drenážami do čerpacích studní a vodu odčerpávať.</w:t>
      </w:r>
    </w:p>
    <w:p w14:paraId="4BDCE638" w14:textId="77777777" w:rsidR="006B7667" w:rsidRPr="0022145C" w:rsidRDefault="006B7667" w:rsidP="006B7667">
      <w:pPr>
        <w:jc w:val="both"/>
        <w:rPr>
          <w:sz w:val="24"/>
        </w:rPr>
      </w:pPr>
      <w:r w:rsidRPr="0022145C">
        <w:t>Pri križovaní s podzemnými vedeniami ako aj v súbehu s nimi je potrebné rešpektovať ich ochranné pásma v zmysle platných STN a požiadaviek správcov jednotlivých vedení.</w:t>
      </w:r>
    </w:p>
    <w:p w14:paraId="7478C18A" w14:textId="77777777" w:rsidR="006B7667" w:rsidRPr="0022145C" w:rsidRDefault="006B7667" w:rsidP="006B7667">
      <w:pPr>
        <w:jc w:val="both"/>
        <w:rPr>
          <w:sz w:val="24"/>
        </w:rPr>
      </w:pPr>
      <w:r w:rsidRPr="0022145C">
        <w:t>Investor zabezpečí pred samotným začiatkom zemných prác vytýčenie všetkých podzemných vedení nachádzajúcich sa na stavenisku (aj tie ktoré mohli byť vybudované v dobe medzi spracovaním projektu a termínom začiatku výstavby). V projektovej dokumentácii sú zakreslené len orientačne.</w:t>
      </w:r>
    </w:p>
    <w:p w14:paraId="57A5CB1C" w14:textId="77777777" w:rsidR="006B7667" w:rsidRPr="0022145C" w:rsidRDefault="006B7667" w:rsidP="006B7667">
      <w:pPr>
        <w:pStyle w:val="Nadpis1"/>
      </w:pPr>
      <w:bookmarkStart w:id="39" w:name="_Toc109590107"/>
      <w:r w:rsidRPr="0022145C">
        <w:t>Uloženie potrubia</w:t>
      </w:r>
      <w:bookmarkEnd w:id="39"/>
    </w:p>
    <w:p w14:paraId="0E6DD44E" w14:textId="77777777" w:rsidR="006B7667" w:rsidRPr="0022145C" w:rsidRDefault="006B7667" w:rsidP="006B7667">
      <w:pPr>
        <w:jc w:val="both"/>
      </w:pPr>
      <w:r w:rsidRPr="0022145C">
        <w:t xml:space="preserve">Potrubie stôk a prípojok do profilu DN400 sa ukladá na 10 cm pieskové alebo štrkopieskové zhutnené lôžko s max zrnom 0-16 mm. Do výšky 70 % vonkajšieho priemeru sa vykoná primárny zhutnený obsyp z piesku alebo štrkopiesku s max. zrnom 0-20 mm. Do výšky 30 cm nad potrubie sa vykoná sekundárny zhutnený zásyp z piesku alebo štrkopiesku s max. zrnom 0-20 mm, pričom nad rúrou sa nezhutňuje. </w:t>
      </w:r>
    </w:p>
    <w:p w14:paraId="267673BA" w14:textId="77777777" w:rsidR="006B7667" w:rsidRPr="001500B2" w:rsidRDefault="006B7667" w:rsidP="006B7667">
      <w:pPr>
        <w:jc w:val="both"/>
      </w:pPr>
      <w:r w:rsidRPr="0022145C">
        <w:t xml:space="preserve">Po úroveň upraveného terénu, resp. cestnej pláne sa vykoná zhutnený zásyp zo </w:t>
      </w:r>
      <w:proofErr w:type="spellStart"/>
      <w:r w:rsidRPr="0022145C">
        <w:t>zhutniteľného</w:t>
      </w:r>
      <w:proofErr w:type="spellEnd"/>
      <w:r w:rsidRPr="0022145C">
        <w:t xml:space="preserve"> materiálu. Po úroveň upraveného terénu, resp. cestnej pláne sa vykoná zhutnený zásyp zo </w:t>
      </w:r>
      <w:proofErr w:type="spellStart"/>
      <w:r w:rsidRPr="0022145C">
        <w:t>zhutniteľného</w:t>
      </w:r>
      <w:proofErr w:type="spellEnd"/>
      <w:r w:rsidRPr="0022145C">
        <w:t xml:space="preserve"> materiálu. Lôžko a obsyp potrubia sa vykoná podľa čl. 6 STN 73 6734. Minimálna miera zhutnenia lôžka a </w:t>
      </w:r>
      <w:proofErr w:type="spellStart"/>
      <w:r w:rsidRPr="0022145C">
        <w:t>obsypov</w:t>
      </w:r>
      <w:proofErr w:type="spellEnd"/>
      <w:r w:rsidRPr="0022145C">
        <w:t xml:space="preserve"> potrubí: ID = 0,8. Materiál lôžka a </w:t>
      </w:r>
      <w:proofErr w:type="spellStart"/>
      <w:r w:rsidRPr="0022145C">
        <w:t>obsypu</w:t>
      </w:r>
      <w:proofErr w:type="spellEnd"/>
      <w:r w:rsidRPr="0022145C">
        <w:t xml:space="preserve"> musí vyhovovať C</w:t>
      </w:r>
      <w:r w:rsidRPr="0022145C">
        <w:rPr>
          <w:vertAlign w:val="subscript"/>
        </w:rPr>
        <w:t>u</w:t>
      </w:r>
      <w:r w:rsidRPr="0022145C">
        <w:t xml:space="preserve"> ≥ 15, max zrno 16 mm.</w:t>
      </w:r>
    </w:p>
    <w:p w14:paraId="294273AC" w14:textId="77777777" w:rsidR="006B7667" w:rsidRDefault="006B7667" w:rsidP="006B7667">
      <w:pPr>
        <w:pStyle w:val="Nadpis1"/>
      </w:pPr>
      <w:bookmarkStart w:id="40" w:name="_Toc109590108"/>
      <w:r>
        <w:t>Bezpečnosť a ochrana zdravia pri práci</w:t>
      </w:r>
      <w:bookmarkEnd w:id="40"/>
    </w:p>
    <w:p w14:paraId="755C63CD" w14:textId="77777777" w:rsidR="006B7667" w:rsidRDefault="006B7667" w:rsidP="006B7667">
      <w:pPr>
        <w:suppressAutoHyphens/>
        <w:jc w:val="both"/>
        <w:rPr>
          <w:rFonts w:cs="Arial"/>
        </w:rPr>
      </w:pPr>
      <w:r w:rsidRPr="00C70F1F">
        <w:rPr>
          <w:rFonts w:cs="Arial"/>
        </w:rPr>
        <w:t>Zemné práce realizovať podľa STN 73</w:t>
      </w:r>
      <w:r>
        <w:rPr>
          <w:rFonts w:cs="Arial"/>
        </w:rPr>
        <w:t xml:space="preserve"> </w:t>
      </w:r>
      <w:r w:rsidRPr="00C70F1F">
        <w:rPr>
          <w:rFonts w:cs="Arial"/>
        </w:rPr>
        <w:t>3050. Pri stavebných prácach je potrebné dodržať ustanovenia vyhlášky č. 374/1990 Zb. Slovenského úradu bezpečnosti práce a Slovenského banského úradu o bezpečnosti práce a technických zariadení pri stavebných prácach.</w:t>
      </w:r>
      <w:r>
        <w:rPr>
          <w:rFonts w:cs="Arial"/>
        </w:rPr>
        <w:t xml:space="preserve"> </w:t>
      </w:r>
      <w:r w:rsidRPr="0031699B">
        <w:rPr>
          <w:rFonts w:cs="Arial"/>
        </w:rPr>
        <w:t>Križovanie a súbeh podzemných vedení realizovať podľa  STN 73</w:t>
      </w:r>
      <w:r>
        <w:rPr>
          <w:rFonts w:cs="Arial"/>
        </w:rPr>
        <w:t xml:space="preserve"> </w:t>
      </w:r>
      <w:r w:rsidRPr="0031699B">
        <w:rPr>
          <w:rFonts w:cs="Arial"/>
        </w:rPr>
        <w:t>6005.</w:t>
      </w:r>
      <w:r>
        <w:rPr>
          <w:rFonts w:cs="Arial"/>
        </w:rPr>
        <w:t xml:space="preserve"> </w:t>
      </w:r>
      <w:r w:rsidRPr="0031699B">
        <w:rPr>
          <w:rFonts w:cs="Arial"/>
        </w:rPr>
        <w:t>Pred zahájením výkopových prác je potrebné zabezpečiť vytýčenie jestvujúcich podzemných inžinierskych sietí. Pri realizácii je potrebné dodržať všetky odstupové vzdialenosti jednotlivých sietí medzi sebou ako aj od objektu.</w:t>
      </w:r>
    </w:p>
    <w:p w14:paraId="02F06857" w14:textId="77777777" w:rsidR="006B7667" w:rsidRPr="00576C89" w:rsidRDefault="006B7667" w:rsidP="003A3745">
      <w:pPr>
        <w:jc w:val="both"/>
        <w:rPr>
          <w:rFonts w:cs="Arial"/>
          <w:sz w:val="22"/>
          <w:szCs w:val="22"/>
        </w:rPr>
      </w:pPr>
    </w:p>
    <w:p w14:paraId="49B9CAF4" w14:textId="29793071" w:rsidR="00E414D4" w:rsidRPr="0031311A" w:rsidRDefault="00E414D4" w:rsidP="00E414D4">
      <w:pPr>
        <w:pStyle w:val="Nadpis1"/>
      </w:pPr>
      <w:bookmarkStart w:id="41" w:name="_Toc109590109"/>
      <w:r w:rsidRPr="0031311A">
        <w:t>Záver</w:t>
      </w:r>
      <w:bookmarkEnd w:id="41"/>
    </w:p>
    <w:p w14:paraId="780303A6" w14:textId="77777777" w:rsidR="009B7CD1" w:rsidRPr="0031311A" w:rsidRDefault="009B7CD1" w:rsidP="009B7CD1">
      <w:pPr>
        <w:jc w:val="both"/>
        <w:rPr>
          <w:rFonts w:cs="Arial"/>
        </w:rPr>
      </w:pPr>
      <w:r w:rsidRPr="0031311A">
        <w:rPr>
          <w:rFonts w:cs="Arial"/>
        </w:rPr>
        <w:t xml:space="preserve">Akákoľvek zmena musí byť prekonzultovaná s projektantom a písomne odsúhlasená! </w:t>
      </w:r>
    </w:p>
    <w:p w14:paraId="26B00166" w14:textId="77777777" w:rsidR="009B7CD1" w:rsidRPr="0031311A" w:rsidRDefault="009B7CD1" w:rsidP="009B7CD1">
      <w:pPr>
        <w:jc w:val="both"/>
        <w:rPr>
          <w:rFonts w:cs="Arial"/>
        </w:rPr>
      </w:pPr>
      <w:r w:rsidRPr="0031311A">
        <w:rPr>
          <w:rFonts w:cs="Arial"/>
        </w:rPr>
        <w:t xml:space="preserve">Pred začatím prác je potrebné si vytýčiť všetky inžinierske siete a pri križovaný a súbežnom vedení sieti je potrebné sa riadiť podľa príslušných noriem a predpisov. </w:t>
      </w:r>
    </w:p>
    <w:p w14:paraId="493276E7" w14:textId="77777777" w:rsidR="009B7CD1" w:rsidRPr="0031311A" w:rsidRDefault="009B7CD1" w:rsidP="009B7CD1">
      <w:pPr>
        <w:jc w:val="both"/>
        <w:rPr>
          <w:rFonts w:cs="Arial"/>
          <w:color w:val="222222"/>
          <w:shd w:val="clear" w:color="auto" w:fill="FFFFFF"/>
        </w:rPr>
      </w:pPr>
      <w:r w:rsidRPr="0031311A">
        <w:rPr>
          <w:rFonts w:cs="Arial"/>
          <w:color w:val="222222"/>
          <w:shd w:val="clear" w:color="auto" w:fill="FFFFFF"/>
        </w:rPr>
        <w:t>Prestupy rozvodov a prestupy inštalácií cez požiarne</w:t>
      </w:r>
      <w:r w:rsidRPr="0031311A">
        <w:rPr>
          <w:rStyle w:val="apple-converted-space"/>
          <w:rFonts w:cs="Arial"/>
          <w:color w:val="222222"/>
          <w:shd w:val="clear" w:color="auto" w:fill="FFFFFF"/>
          <w:vertAlign w:val="subscript"/>
        </w:rPr>
        <w:t> </w:t>
      </w:r>
      <w:r w:rsidRPr="0031311A">
        <w:rPr>
          <w:rFonts w:cs="Arial"/>
          <w:color w:val="222222"/>
          <w:shd w:val="clear" w:color="auto" w:fill="FFFFFF"/>
        </w:rPr>
        <w:t xml:space="preserve">deliace konštrukcie musia byť utesnené konštrukčnými prvkami takého druhu ako sú požiarne deliace konštrukcie, ktorými prestupujú. Utesnený prestup musí spĺňať požiadavky na požiarnu odolnosť požiarne deliacej konštrukcie, ktorou prestupuje v zmysle Vyhlášky MVSR č.94/2004 </w:t>
      </w:r>
      <w:proofErr w:type="spellStart"/>
      <w:r w:rsidRPr="0031311A">
        <w:rPr>
          <w:rFonts w:cs="Arial"/>
          <w:color w:val="222222"/>
          <w:shd w:val="clear" w:color="auto" w:fill="FFFFFF"/>
        </w:rPr>
        <w:t>Z.z</w:t>
      </w:r>
      <w:proofErr w:type="spellEnd"/>
      <w:r w:rsidRPr="0031311A">
        <w:rPr>
          <w:rFonts w:cs="Arial"/>
          <w:color w:val="222222"/>
          <w:shd w:val="clear" w:color="auto" w:fill="FFFFFF"/>
        </w:rPr>
        <w:t>., §40-ods.3.</w:t>
      </w:r>
    </w:p>
    <w:p w14:paraId="30085562" w14:textId="66948C08" w:rsidR="009B7CD1" w:rsidRPr="00C70F1F" w:rsidRDefault="009B7CD1" w:rsidP="009B7CD1">
      <w:pPr>
        <w:jc w:val="both"/>
        <w:rPr>
          <w:rFonts w:cs="Arial"/>
          <w:color w:val="222222"/>
          <w:shd w:val="clear" w:color="auto" w:fill="FFFFFF"/>
        </w:rPr>
      </w:pPr>
      <w:r w:rsidRPr="0031311A">
        <w:rPr>
          <w:rFonts w:cs="Arial"/>
          <w:color w:val="222222"/>
          <w:shd w:val="clear" w:color="auto" w:fill="FFFFFF"/>
        </w:rPr>
        <w:t>Všetky rozmery pred začiatkom je potrebné premerať priamo na stavbe a v prípade rozdielov je potrebné informovať architekta.</w:t>
      </w:r>
      <w:r w:rsidR="00FE0FD9">
        <w:rPr>
          <w:rFonts w:cs="Arial"/>
          <w:color w:val="222222"/>
          <w:shd w:val="clear" w:color="auto" w:fill="FFFFFF"/>
        </w:rPr>
        <w:t xml:space="preserve"> Tento projekt nie možné </w:t>
      </w:r>
      <w:r w:rsidR="00D14CB8">
        <w:rPr>
          <w:rFonts w:cs="Arial"/>
          <w:color w:val="222222"/>
          <w:shd w:val="clear" w:color="auto" w:fill="FFFFFF"/>
        </w:rPr>
        <w:t xml:space="preserve">poskytnúť tretím stranám bez písomného súhlasu spoločnosti PAVAND, </w:t>
      </w:r>
      <w:proofErr w:type="spellStart"/>
      <w:r w:rsidR="00D14CB8">
        <w:rPr>
          <w:rFonts w:cs="Arial"/>
          <w:color w:val="222222"/>
          <w:shd w:val="clear" w:color="auto" w:fill="FFFFFF"/>
        </w:rPr>
        <w:t>s.r.o</w:t>
      </w:r>
      <w:proofErr w:type="spellEnd"/>
      <w:r w:rsidR="00D14CB8">
        <w:rPr>
          <w:rFonts w:cs="Arial"/>
          <w:color w:val="222222"/>
          <w:shd w:val="clear" w:color="auto" w:fill="FFFFFF"/>
        </w:rPr>
        <w:t>.</w:t>
      </w:r>
      <w:r w:rsidR="0031311A">
        <w:rPr>
          <w:rFonts w:cs="Arial"/>
          <w:color w:val="222222"/>
          <w:shd w:val="clear" w:color="auto" w:fill="FFFFFF"/>
        </w:rPr>
        <w:t>.</w:t>
      </w:r>
    </w:p>
    <w:p w14:paraId="29442629" w14:textId="77777777" w:rsidR="00E414D4" w:rsidRPr="00E414D4" w:rsidRDefault="00E414D4" w:rsidP="00E414D4"/>
    <w:p w14:paraId="1265BBC0" w14:textId="77777777" w:rsidR="00015DED" w:rsidRPr="00015DED" w:rsidRDefault="00015DED" w:rsidP="00015DED"/>
    <w:p w14:paraId="76878B1B" w14:textId="5018BD5A" w:rsidR="00546FA7" w:rsidRPr="00F62E27" w:rsidRDefault="007E2DCC" w:rsidP="005E50E2">
      <w:pPr>
        <w:jc w:val="both"/>
      </w:pPr>
      <w:r>
        <w:t xml:space="preserve">V Bratislave, </w:t>
      </w:r>
      <w:r w:rsidR="00882C35">
        <w:t>marec</w:t>
      </w:r>
      <w:r>
        <w:t xml:space="preserve"> 202</w:t>
      </w:r>
      <w:r w:rsidR="00882C35">
        <w:t>1</w:t>
      </w:r>
      <w:r>
        <w:tab/>
      </w:r>
      <w:r>
        <w:tab/>
      </w:r>
      <w:r>
        <w:tab/>
      </w:r>
      <w:r>
        <w:tab/>
      </w:r>
      <w:r>
        <w:tab/>
        <w:t>Vypracoval: Ing. Lukáš Beňo</w:t>
      </w:r>
    </w:p>
    <w:sectPr w:rsidR="00546FA7" w:rsidRPr="00F62E27" w:rsidSect="00F6060A">
      <w:headerReference w:type="even" r:id="rId8"/>
      <w:headerReference w:type="default" r:id="rId9"/>
      <w:footerReference w:type="default" r:id="rId10"/>
      <w:footerReference w:type="first" r:id="rId11"/>
      <w:pgSz w:w="11907" w:h="16840" w:code="9"/>
      <w:pgMar w:top="1304" w:right="1275" w:bottom="737" w:left="1797" w:header="567" w:footer="68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66E8" w14:textId="77777777" w:rsidR="00072220" w:rsidRDefault="00072220">
      <w:r>
        <w:separator/>
      </w:r>
    </w:p>
  </w:endnote>
  <w:endnote w:type="continuationSeparator" w:id="0">
    <w:p w14:paraId="0020B900" w14:textId="77777777" w:rsidR="00072220" w:rsidRDefault="00072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TEE">
    <w:altName w:val="Times New Roman"/>
    <w:charset w:val="00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A0E1" w14:textId="77777777" w:rsidR="00A560A4" w:rsidRDefault="00A560A4" w:rsidP="00C91C4A">
    <w:pPr>
      <w:tabs>
        <w:tab w:val="right" w:pos="8789"/>
      </w:tabs>
      <w:ind w:right="44"/>
      <w:rPr>
        <w:rStyle w:val="slostrany"/>
        <w:sz w:val="16"/>
        <w:u w:val="single"/>
      </w:rPr>
    </w:pPr>
    <w:r>
      <w:rPr>
        <w:i/>
        <w:u w:val="single"/>
      </w:rPr>
      <w:tab/>
    </w:r>
    <w:r w:rsidR="00B66EB7">
      <w:rPr>
        <w:i/>
        <w:u w:val="single"/>
      </w:rPr>
      <w:t>__</w:t>
    </w:r>
    <w:r w:rsidR="00C91C4A">
      <w:rPr>
        <w:i/>
        <w:u w:val="single"/>
      </w:rPr>
      <w:t>_____</w:t>
    </w:r>
  </w:p>
  <w:p w14:paraId="2A5EA0E2" w14:textId="61EA16ED" w:rsidR="00A560A4" w:rsidRDefault="00A560A4" w:rsidP="00C91C4A">
    <w:pPr>
      <w:pStyle w:val="Pta"/>
      <w:tabs>
        <w:tab w:val="clear" w:pos="4536"/>
        <w:tab w:val="clear" w:pos="9072"/>
        <w:tab w:val="right" w:pos="8789"/>
      </w:tabs>
    </w:pPr>
    <w:r>
      <w:rPr>
        <w:rStyle w:val="slostrany"/>
        <w:i/>
        <w:color w:val="808080"/>
        <w:sz w:val="16"/>
      </w:rPr>
      <w:t xml:space="preserve">Dokumentácia pre </w:t>
    </w:r>
    <w:r w:rsidR="00664AD3">
      <w:rPr>
        <w:rStyle w:val="slostrany"/>
        <w:i/>
        <w:color w:val="808080"/>
        <w:sz w:val="16"/>
      </w:rPr>
      <w:t>realizáciu stavby</w:t>
    </w:r>
    <w:r>
      <w:rPr>
        <w:rStyle w:val="slostrany"/>
        <w:i/>
        <w:color w:val="808080"/>
        <w:sz w:val="16"/>
      </w:rPr>
      <w:tab/>
    </w:r>
    <w:r w:rsidR="00C771BE">
      <w:rPr>
        <w:rStyle w:val="slostrany"/>
        <w:sz w:val="16"/>
      </w:rPr>
      <w:fldChar w:fldCharType="begin"/>
    </w:r>
    <w:r>
      <w:rPr>
        <w:rStyle w:val="slostrany"/>
        <w:sz w:val="16"/>
      </w:rPr>
      <w:instrText xml:space="preserve"> PAGE </w:instrText>
    </w:r>
    <w:r w:rsidR="00C771BE">
      <w:rPr>
        <w:rStyle w:val="slostrany"/>
        <w:sz w:val="16"/>
      </w:rPr>
      <w:fldChar w:fldCharType="separate"/>
    </w:r>
    <w:r w:rsidR="004076E8">
      <w:rPr>
        <w:rStyle w:val="slostrany"/>
        <w:noProof/>
        <w:sz w:val="16"/>
      </w:rPr>
      <w:t>7</w:t>
    </w:r>
    <w:r w:rsidR="00C771BE">
      <w:rPr>
        <w:rStyle w:val="slostrany"/>
        <w:sz w:val="16"/>
      </w:rPr>
      <w:fldChar w:fldCharType="end"/>
    </w:r>
    <w:r>
      <w:rPr>
        <w:rStyle w:val="slostrany"/>
        <w:b/>
        <w:noProof/>
        <w:sz w:val="16"/>
      </w:rPr>
      <w:t>/</w:t>
    </w:r>
    <w:r w:rsidR="00C771BE">
      <w:rPr>
        <w:rStyle w:val="slostrany"/>
        <w:sz w:val="16"/>
      </w:rPr>
      <w:fldChar w:fldCharType="begin"/>
    </w:r>
    <w:r>
      <w:rPr>
        <w:rStyle w:val="slostrany"/>
        <w:sz w:val="16"/>
      </w:rPr>
      <w:instrText xml:space="preserve"> NUMPAGES </w:instrText>
    </w:r>
    <w:r w:rsidR="00C771BE">
      <w:rPr>
        <w:rStyle w:val="slostrany"/>
        <w:sz w:val="16"/>
      </w:rPr>
      <w:fldChar w:fldCharType="separate"/>
    </w:r>
    <w:r w:rsidR="004076E8">
      <w:rPr>
        <w:rStyle w:val="slostrany"/>
        <w:noProof/>
        <w:sz w:val="16"/>
      </w:rPr>
      <w:t>7</w:t>
    </w:r>
    <w:r w:rsidR="00C771BE">
      <w:rPr>
        <w:rStyle w:val="slostrany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A0E3" w14:textId="77777777" w:rsidR="00A227C4" w:rsidRDefault="009A55D9" w:rsidP="00B8347C">
    <w:pPr>
      <w:pStyle w:val="Pta"/>
    </w:pPr>
    <w:r>
      <w:t>_______________________________________________________________________________</w:t>
    </w:r>
    <w:r w:rsidR="00F6060A">
      <w:tab/>
    </w:r>
  </w:p>
  <w:p w14:paraId="2A5EA0E4" w14:textId="4B230FAF" w:rsidR="00F6060A" w:rsidRPr="00151834" w:rsidRDefault="00C6172F" w:rsidP="00B8347C">
    <w:pPr>
      <w:pStyle w:val="Pta"/>
      <w:rPr>
        <w:sz w:val="16"/>
        <w:szCs w:val="16"/>
      </w:rPr>
    </w:pPr>
    <w:r w:rsidRPr="00151834">
      <w:rPr>
        <w:noProof/>
        <w:sz w:val="16"/>
        <w:szCs w:val="16"/>
      </w:rPr>
      <w:drawing>
        <wp:anchor distT="0" distB="0" distL="114300" distR="114300" simplePos="0" relativeHeight="251658240" behindDoc="0" locked="0" layoutInCell="0" allowOverlap="1" wp14:anchorId="2A5EA0E9" wp14:editId="2A5EA0EA">
          <wp:simplePos x="0" y="0"/>
          <wp:positionH relativeFrom="column">
            <wp:posOffset>4826000</wp:posOffset>
          </wp:positionH>
          <wp:positionV relativeFrom="paragraph">
            <wp:posOffset>90170</wp:posOffset>
          </wp:positionV>
          <wp:extent cx="794385" cy="293370"/>
          <wp:effectExtent l="0" t="0" r="0" b="0"/>
          <wp:wrapNone/>
          <wp:docPr id="2" name="Obrázok 2" descr="pavand heade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vand heade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4" t="20755"/>
                  <a:stretch>
                    <a:fillRect/>
                  </a:stretch>
                </pic:blipFill>
                <pic:spPr bwMode="auto">
                  <a:xfrm>
                    <a:off x="0" y="0"/>
                    <a:ext cx="794385" cy="293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6060A" w:rsidRPr="00151834">
      <w:rPr>
        <w:sz w:val="16"/>
        <w:szCs w:val="16"/>
      </w:rPr>
      <w:t xml:space="preserve">PAVAND, </w:t>
    </w:r>
    <w:proofErr w:type="spellStart"/>
    <w:r w:rsidR="00F6060A" w:rsidRPr="00151834">
      <w:rPr>
        <w:sz w:val="16"/>
        <w:szCs w:val="16"/>
      </w:rPr>
      <w:t>s.r.o</w:t>
    </w:r>
    <w:proofErr w:type="spellEnd"/>
    <w:r w:rsidR="00F6060A" w:rsidRPr="00151834">
      <w:rPr>
        <w:sz w:val="16"/>
        <w:szCs w:val="16"/>
      </w:rPr>
      <w:t xml:space="preserve">, </w:t>
    </w:r>
    <w:r w:rsidR="00567F0D">
      <w:rPr>
        <w:sz w:val="16"/>
        <w:szCs w:val="16"/>
      </w:rPr>
      <w:t>Gogoľova 18</w:t>
    </w:r>
    <w:r w:rsidR="00F6060A" w:rsidRPr="00151834">
      <w:rPr>
        <w:sz w:val="16"/>
        <w:szCs w:val="16"/>
      </w:rPr>
      <w:t>, 851 0</w:t>
    </w:r>
    <w:r w:rsidR="00567F0D">
      <w:rPr>
        <w:sz w:val="16"/>
        <w:szCs w:val="16"/>
      </w:rPr>
      <w:t>1</w:t>
    </w:r>
    <w:r w:rsidR="00F6060A" w:rsidRPr="00151834">
      <w:rPr>
        <w:sz w:val="16"/>
        <w:szCs w:val="16"/>
      </w:rPr>
      <w:t xml:space="preserve"> Bratislava,</w:t>
    </w:r>
  </w:p>
  <w:p w14:paraId="2A5EA0E5" w14:textId="699426BC" w:rsidR="00F6060A" w:rsidRPr="00151834" w:rsidRDefault="00C85247" w:rsidP="00B8347C">
    <w:pPr>
      <w:pStyle w:val="Pta"/>
      <w:rPr>
        <w:sz w:val="16"/>
        <w:szCs w:val="16"/>
      </w:rPr>
    </w:pPr>
    <w:r>
      <w:rPr>
        <w:sz w:val="16"/>
        <w:szCs w:val="16"/>
      </w:rPr>
      <w:t xml:space="preserve">Web: </w:t>
    </w:r>
    <w:hyperlink r:id="rId2" w:history="1">
      <w:r w:rsidRPr="00193C43">
        <w:rPr>
          <w:rStyle w:val="Hypertextovprepojenie"/>
          <w:sz w:val="16"/>
          <w:szCs w:val="16"/>
        </w:rPr>
        <w:t>www.pavand.sk</w:t>
      </w:r>
    </w:hyperlink>
    <w:r>
      <w:rPr>
        <w:sz w:val="16"/>
        <w:szCs w:val="16"/>
      </w:rPr>
      <w:t xml:space="preserve">; </w:t>
    </w:r>
    <w:r w:rsidR="00F6060A" w:rsidRPr="00151834">
      <w:rPr>
        <w:sz w:val="16"/>
        <w:szCs w:val="16"/>
      </w:rPr>
      <w:t xml:space="preserve">Email: </w:t>
    </w:r>
    <w:hyperlink r:id="rId3" w:history="1">
      <w:r w:rsidR="00F6060A" w:rsidRPr="00151834">
        <w:rPr>
          <w:rStyle w:val="Hypertextovprepojenie"/>
          <w:sz w:val="16"/>
          <w:szCs w:val="16"/>
        </w:rPr>
        <w:t>pavand@pavand.sk</w:t>
      </w:r>
    </w:hyperlink>
  </w:p>
  <w:p w14:paraId="2A5EA0E6" w14:textId="77777777" w:rsidR="00F6060A" w:rsidRPr="00151834" w:rsidRDefault="00F6060A" w:rsidP="00B8347C">
    <w:pPr>
      <w:pStyle w:val="Pta"/>
      <w:rPr>
        <w:sz w:val="16"/>
        <w:szCs w:val="16"/>
      </w:rPr>
    </w:pPr>
    <w:r w:rsidRPr="00151834">
      <w:rPr>
        <w:sz w:val="16"/>
        <w:szCs w:val="16"/>
      </w:rPr>
      <w:t>Mobil: +421 903 247 252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0106" w14:textId="77777777" w:rsidR="00072220" w:rsidRDefault="00072220">
      <w:r>
        <w:separator/>
      </w:r>
    </w:p>
  </w:footnote>
  <w:footnote w:type="continuationSeparator" w:id="0">
    <w:p w14:paraId="4C60A348" w14:textId="77777777" w:rsidR="00072220" w:rsidRDefault="000722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A0DC" w14:textId="77777777" w:rsidR="00A560A4" w:rsidRDefault="00C771BE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A560A4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A5EA0DD" w14:textId="77777777" w:rsidR="00A560A4" w:rsidRDefault="00A560A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B0432" w14:textId="7E894F2A" w:rsidR="00136028" w:rsidRDefault="00C6172F" w:rsidP="00136028">
    <w:pPr>
      <w:autoSpaceDE w:val="0"/>
      <w:autoSpaceDN w:val="0"/>
      <w:adjustRightInd w:val="0"/>
      <w:rPr>
        <w:rFonts w:cs="Arial"/>
        <w:color w:val="000000"/>
        <w:sz w:val="24"/>
        <w:szCs w:val="24"/>
      </w:rPr>
    </w:pPr>
    <w:r w:rsidRPr="00FD6FFF">
      <w:rPr>
        <w:i/>
        <w:noProof/>
        <w:sz w:val="16"/>
      </w:rPr>
      <w:drawing>
        <wp:anchor distT="0" distB="0" distL="114300" distR="114300" simplePos="0" relativeHeight="251693056" behindDoc="0" locked="0" layoutInCell="0" allowOverlap="1" wp14:anchorId="2A5EA0E7" wp14:editId="2A5EA0E8">
          <wp:simplePos x="0" y="0"/>
          <wp:positionH relativeFrom="column">
            <wp:posOffset>4803140</wp:posOffset>
          </wp:positionH>
          <wp:positionV relativeFrom="paragraph">
            <wp:posOffset>-184150</wp:posOffset>
          </wp:positionV>
          <wp:extent cx="800100" cy="390525"/>
          <wp:effectExtent l="0" t="0" r="0" b="0"/>
          <wp:wrapNone/>
          <wp:docPr id="1" name="Obrázok 1" descr="pavand heade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vand heade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390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560A4" w:rsidRPr="00FD6FFF">
      <w:rPr>
        <w:i/>
        <w:sz w:val="16"/>
      </w:rPr>
      <w:t>Stavba:</w:t>
    </w:r>
    <w:r w:rsidR="00A560A4" w:rsidRPr="00FD6FFF">
      <w:rPr>
        <w:i/>
        <w:sz w:val="16"/>
      </w:rPr>
      <w:tab/>
    </w:r>
    <w:r w:rsidR="00136028">
      <w:rPr>
        <w:rFonts w:cs="Arial"/>
        <w:color w:val="000000"/>
        <w:sz w:val="24"/>
        <w:szCs w:val="24"/>
      </w:rPr>
      <w:t xml:space="preserve">  </w:t>
    </w:r>
    <w:r w:rsidR="00136028" w:rsidRPr="00626463">
      <w:rPr>
        <w:rFonts w:cs="Arial"/>
        <w:color w:val="000000"/>
        <w:sz w:val="16"/>
        <w:szCs w:val="16"/>
      </w:rPr>
      <w:t>REKONŠTRUKCIA DOMU SMÚTKU V RAČI A JEHO PRIĽAHLÉHO OKOLIA</w:t>
    </w:r>
  </w:p>
  <w:p w14:paraId="2A5EA0E0" w14:textId="2F6CE0FC" w:rsidR="00297538" w:rsidRDefault="00A560A4" w:rsidP="005F4955">
    <w:pPr>
      <w:pBdr>
        <w:bottom w:val="single" w:sz="4" w:space="1" w:color="auto"/>
      </w:pBdr>
      <w:tabs>
        <w:tab w:val="left" w:pos="851"/>
      </w:tabs>
    </w:pPr>
    <w:r w:rsidRPr="00FD6FFF">
      <w:rPr>
        <w:i/>
        <w:sz w:val="16"/>
      </w:rPr>
      <w:t>Investor</w:t>
    </w:r>
    <w:r w:rsidRPr="00FD6FFF">
      <w:rPr>
        <w:i/>
        <w:noProof/>
        <w:sz w:val="16"/>
      </w:rPr>
      <w:t>:</w:t>
    </w:r>
    <w:r w:rsidRPr="00FD6FFF">
      <w:rPr>
        <w:i/>
        <w:noProof/>
        <w:sz w:val="16"/>
      </w:rPr>
      <w:tab/>
    </w:r>
    <w:r w:rsidR="005F4955">
      <w:rPr>
        <w:sz w:val="16"/>
        <w:szCs w:val="16"/>
      </w:rPr>
      <w:t>MARIANUM</w:t>
    </w:r>
    <w:r w:rsidR="00635ACE">
      <w:rPr>
        <w:sz w:val="16"/>
        <w:szCs w:val="16"/>
      </w:rPr>
      <w:t xml:space="preserve"> - pohrebníctvo mesta </w:t>
    </w:r>
    <w:r w:rsidR="00012D4F">
      <w:rPr>
        <w:sz w:val="16"/>
        <w:szCs w:val="16"/>
      </w:rPr>
      <w:t>Bratislavy, Šafárikovo námestie 3, 811 02 Bratislava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  <w:rPr>
        <w:rFonts w:ascii="Symbol" w:hAnsi="Symbol" w:cs="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24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73" w:firstLine="0"/>
      </w:pPr>
    </w:lvl>
  </w:abstractNum>
  <w:abstractNum w:abstractNumId="2" w15:restartNumberingAfterBreak="0">
    <w:nsid w:val="05D747D4"/>
    <w:multiLevelType w:val="hybridMultilevel"/>
    <w:tmpl w:val="51F81238"/>
    <w:lvl w:ilvl="0" w:tplc="38D824FC">
      <w:start w:val="1"/>
      <w:numFmt w:val="decimal"/>
      <w:pStyle w:val="Nadpis5"/>
      <w:lvlText w:val="%1."/>
      <w:lvlJc w:val="left"/>
      <w:pPr>
        <w:ind w:left="360" w:hanging="36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1486"/>
    <w:multiLevelType w:val="singleLevel"/>
    <w:tmpl w:val="7F44EEEC"/>
    <w:lvl w:ilvl="0">
      <w:start w:val="1"/>
      <w:numFmt w:val="bullet"/>
      <w:pStyle w:val="Zoznamsodrkami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0D304C8"/>
    <w:multiLevelType w:val="hybridMultilevel"/>
    <w:tmpl w:val="D0F86E22"/>
    <w:lvl w:ilvl="0" w:tplc="3690826E">
      <w:start w:val="1"/>
      <w:numFmt w:val="decimal"/>
      <w:pStyle w:val="Nadpis1"/>
      <w:lvlText w:val="%1."/>
      <w:lvlJc w:val="left"/>
      <w:pPr>
        <w:ind w:left="720" w:hanging="360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87D58"/>
    <w:multiLevelType w:val="singleLevel"/>
    <w:tmpl w:val="041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AB1254"/>
    <w:multiLevelType w:val="hybridMultilevel"/>
    <w:tmpl w:val="BCE42820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5F6F6445"/>
    <w:multiLevelType w:val="hybridMultilevel"/>
    <w:tmpl w:val="DFF0BF08"/>
    <w:lvl w:ilvl="0" w:tplc="FFFFFFFF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43676539">
    <w:abstractNumId w:val="3"/>
  </w:num>
  <w:num w:numId="2" w16cid:durableId="1040202493">
    <w:abstractNumId w:val="1"/>
  </w:num>
  <w:num w:numId="3" w16cid:durableId="395668035">
    <w:abstractNumId w:val="7"/>
  </w:num>
  <w:num w:numId="4" w16cid:durableId="642778980">
    <w:abstractNumId w:val="2"/>
  </w:num>
  <w:num w:numId="5" w16cid:durableId="2099910317">
    <w:abstractNumId w:val="0"/>
  </w:num>
  <w:num w:numId="6" w16cid:durableId="807866533">
    <w:abstractNumId w:val="6"/>
  </w:num>
  <w:num w:numId="7" w16cid:durableId="1631009279">
    <w:abstractNumId w:val="2"/>
    <w:lvlOverride w:ilvl="0">
      <w:startOverride w:val="1"/>
    </w:lvlOverride>
  </w:num>
  <w:num w:numId="8" w16cid:durableId="1256480724">
    <w:abstractNumId w:val="2"/>
    <w:lvlOverride w:ilvl="0">
      <w:startOverride w:val="1"/>
    </w:lvlOverride>
  </w:num>
  <w:num w:numId="9" w16cid:durableId="1678313182">
    <w:abstractNumId w:val="4"/>
  </w:num>
  <w:num w:numId="10" w16cid:durableId="21262493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70"/>
    <w:rsid w:val="00000685"/>
    <w:rsid w:val="0000434B"/>
    <w:rsid w:val="00004494"/>
    <w:rsid w:val="00007C8F"/>
    <w:rsid w:val="00010497"/>
    <w:rsid w:val="000116F1"/>
    <w:rsid w:val="00011CF6"/>
    <w:rsid w:val="0001241F"/>
    <w:rsid w:val="00012944"/>
    <w:rsid w:val="00012D4F"/>
    <w:rsid w:val="00012DF9"/>
    <w:rsid w:val="000132EC"/>
    <w:rsid w:val="00015DED"/>
    <w:rsid w:val="000167F8"/>
    <w:rsid w:val="00016D85"/>
    <w:rsid w:val="000234E5"/>
    <w:rsid w:val="00031328"/>
    <w:rsid w:val="000315A2"/>
    <w:rsid w:val="00032939"/>
    <w:rsid w:val="00033B68"/>
    <w:rsid w:val="000341C2"/>
    <w:rsid w:val="00036DE9"/>
    <w:rsid w:val="00036E2F"/>
    <w:rsid w:val="0003769A"/>
    <w:rsid w:val="00037BB2"/>
    <w:rsid w:val="0004130E"/>
    <w:rsid w:val="00041782"/>
    <w:rsid w:val="00041FC9"/>
    <w:rsid w:val="00042210"/>
    <w:rsid w:val="00042409"/>
    <w:rsid w:val="00047210"/>
    <w:rsid w:val="000500C1"/>
    <w:rsid w:val="000501E4"/>
    <w:rsid w:val="00050C52"/>
    <w:rsid w:val="00057522"/>
    <w:rsid w:val="00057722"/>
    <w:rsid w:val="00060854"/>
    <w:rsid w:val="00061667"/>
    <w:rsid w:val="000623DF"/>
    <w:rsid w:val="00062E56"/>
    <w:rsid w:val="00063CC0"/>
    <w:rsid w:val="00063F62"/>
    <w:rsid w:val="000648C5"/>
    <w:rsid w:val="00065861"/>
    <w:rsid w:val="00066300"/>
    <w:rsid w:val="000666E0"/>
    <w:rsid w:val="00066CC5"/>
    <w:rsid w:val="00070221"/>
    <w:rsid w:val="00070275"/>
    <w:rsid w:val="00071EC9"/>
    <w:rsid w:val="00071ED7"/>
    <w:rsid w:val="00072220"/>
    <w:rsid w:val="00073398"/>
    <w:rsid w:val="00075227"/>
    <w:rsid w:val="00075411"/>
    <w:rsid w:val="0007722D"/>
    <w:rsid w:val="00080CDF"/>
    <w:rsid w:val="000816F6"/>
    <w:rsid w:val="00081A4F"/>
    <w:rsid w:val="0008292E"/>
    <w:rsid w:val="000834D8"/>
    <w:rsid w:val="00085251"/>
    <w:rsid w:val="000856C1"/>
    <w:rsid w:val="00090EAE"/>
    <w:rsid w:val="00092911"/>
    <w:rsid w:val="00093258"/>
    <w:rsid w:val="00094B0B"/>
    <w:rsid w:val="00094E01"/>
    <w:rsid w:val="00095E67"/>
    <w:rsid w:val="00097A91"/>
    <w:rsid w:val="000A35B9"/>
    <w:rsid w:val="000A47F1"/>
    <w:rsid w:val="000A4862"/>
    <w:rsid w:val="000A6EAA"/>
    <w:rsid w:val="000B0584"/>
    <w:rsid w:val="000B37E1"/>
    <w:rsid w:val="000B3F32"/>
    <w:rsid w:val="000B4155"/>
    <w:rsid w:val="000B59B3"/>
    <w:rsid w:val="000B5ECC"/>
    <w:rsid w:val="000B6087"/>
    <w:rsid w:val="000B7050"/>
    <w:rsid w:val="000C0751"/>
    <w:rsid w:val="000C1A7F"/>
    <w:rsid w:val="000C2B4C"/>
    <w:rsid w:val="000C36D3"/>
    <w:rsid w:val="000C4432"/>
    <w:rsid w:val="000C4AE7"/>
    <w:rsid w:val="000D13F6"/>
    <w:rsid w:val="000D299C"/>
    <w:rsid w:val="000D3F8C"/>
    <w:rsid w:val="000D507F"/>
    <w:rsid w:val="000D6F99"/>
    <w:rsid w:val="000E0A2A"/>
    <w:rsid w:val="000E1F84"/>
    <w:rsid w:val="000E3338"/>
    <w:rsid w:val="000E5E1A"/>
    <w:rsid w:val="000E684A"/>
    <w:rsid w:val="000E7742"/>
    <w:rsid w:val="000F0231"/>
    <w:rsid w:val="000F1754"/>
    <w:rsid w:val="000F2EFC"/>
    <w:rsid w:val="000F3D8C"/>
    <w:rsid w:val="000F501A"/>
    <w:rsid w:val="000F7C21"/>
    <w:rsid w:val="00100C0E"/>
    <w:rsid w:val="00100EC2"/>
    <w:rsid w:val="00101248"/>
    <w:rsid w:val="00103FFF"/>
    <w:rsid w:val="00104CA4"/>
    <w:rsid w:val="001063CA"/>
    <w:rsid w:val="00106477"/>
    <w:rsid w:val="00106590"/>
    <w:rsid w:val="0010723C"/>
    <w:rsid w:val="00107DA9"/>
    <w:rsid w:val="00107EE3"/>
    <w:rsid w:val="001103A5"/>
    <w:rsid w:val="00112C5F"/>
    <w:rsid w:val="0011312B"/>
    <w:rsid w:val="00116F54"/>
    <w:rsid w:val="00120F57"/>
    <w:rsid w:val="001214E4"/>
    <w:rsid w:val="00121CB5"/>
    <w:rsid w:val="001230DB"/>
    <w:rsid w:val="00130F3E"/>
    <w:rsid w:val="00130F46"/>
    <w:rsid w:val="00131075"/>
    <w:rsid w:val="00132ACA"/>
    <w:rsid w:val="00133B4F"/>
    <w:rsid w:val="00133D6C"/>
    <w:rsid w:val="0013599F"/>
    <w:rsid w:val="00136028"/>
    <w:rsid w:val="0013689E"/>
    <w:rsid w:val="0014070E"/>
    <w:rsid w:val="001409D9"/>
    <w:rsid w:val="0014177E"/>
    <w:rsid w:val="00141F79"/>
    <w:rsid w:val="00143ECA"/>
    <w:rsid w:val="00144863"/>
    <w:rsid w:val="00144AF2"/>
    <w:rsid w:val="001505D1"/>
    <w:rsid w:val="00150971"/>
    <w:rsid w:val="001514F7"/>
    <w:rsid w:val="00151580"/>
    <w:rsid w:val="00151666"/>
    <w:rsid w:val="00151834"/>
    <w:rsid w:val="00154EAA"/>
    <w:rsid w:val="00160E06"/>
    <w:rsid w:val="00160F51"/>
    <w:rsid w:val="00161400"/>
    <w:rsid w:val="00163786"/>
    <w:rsid w:val="001671F2"/>
    <w:rsid w:val="00170B11"/>
    <w:rsid w:val="00170D1D"/>
    <w:rsid w:val="00172BE1"/>
    <w:rsid w:val="00173163"/>
    <w:rsid w:val="00174052"/>
    <w:rsid w:val="00174054"/>
    <w:rsid w:val="00176741"/>
    <w:rsid w:val="00176E0A"/>
    <w:rsid w:val="00177EC5"/>
    <w:rsid w:val="00181580"/>
    <w:rsid w:val="00182425"/>
    <w:rsid w:val="00182522"/>
    <w:rsid w:val="00183661"/>
    <w:rsid w:val="00186A40"/>
    <w:rsid w:val="00186C5B"/>
    <w:rsid w:val="00193438"/>
    <w:rsid w:val="001A1836"/>
    <w:rsid w:val="001A2FA3"/>
    <w:rsid w:val="001A63EB"/>
    <w:rsid w:val="001A79C4"/>
    <w:rsid w:val="001B0083"/>
    <w:rsid w:val="001B1F84"/>
    <w:rsid w:val="001B3CD6"/>
    <w:rsid w:val="001B4070"/>
    <w:rsid w:val="001B4857"/>
    <w:rsid w:val="001B61A7"/>
    <w:rsid w:val="001B63FC"/>
    <w:rsid w:val="001B698C"/>
    <w:rsid w:val="001C2519"/>
    <w:rsid w:val="001C62C7"/>
    <w:rsid w:val="001C66A0"/>
    <w:rsid w:val="001C68A1"/>
    <w:rsid w:val="001C76EF"/>
    <w:rsid w:val="001D009D"/>
    <w:rsid w:val="001D2842"/>
    <w:rsid w:val="001D33AF"/>
    <w:rsid w:val="001D70D9"/>
    <w:rsid w:val="001E4515"/>
    <w:rsid w:val="001E76EA"/>
    <w:rsid w:val="001F2387"/>
    <w:rsid w:val="001F24D8"/>
    <w:rsid w:val="001F4926"/>
    <w:rsid w:val="001F4CC5"/>
    <w:rsid w:val="001F60E9"/>
    <w:rsid w:val="001F63AE"/>
    <w:rsid w:val="002007DD"/>
    <w:rsid w:val="0020125F"/>
    <w:rsid w:val="00203122"/>
    <w:rsid w:val="0020372A"/>
    <w:rsid w:val="00204058"/>
    <w:rsid w:val="002045C5"/>
    <w:rsid w:val="00205504"/>
    <w:rsid w:val="00205EE8"/>
    <w:rsid w:val="002075CB"/>
    <w:rsid w:val="002117ED"/>
    <w:rsid w:val="002118FE"/>
    <w:rsid w:val="00212068"/>
    <w:rsid w:val="00212134"/>
    <w:rsid w:val="002122FD"/>
    <w:rsid w:val="00214430"/>
    <w:rsid w:val="0021575D"/>
    <w:rsid w:val="00216311"/>
    <w:rsid w:val="00216500"/>
    <w:rsid w:val="0021765E"/>
    <w:rsid w:val="00221584"/>
    <w:rsid w:val="00224EE4"/>
    <w:rsid w:val="0022793B"/>
    <w:rsid w:val="002300F8"/>
    <w:rsid w:val="002318C4"/>
    <w:rsid w:val="00231AF9"/>
    <w:rsid w:val="00233A18"/>
    <w:rsid w:val="002348FE"/>
    <w:rsid w:val="002353A5"/>
    <w:rsid w:val="00237B4F"/>
    <w:rsid w:val="00241BCF"/>
    <w:rsid w:val="00243B7F"/>
    <w:rsid w:val="00243F3B"/>
    <w:rsid w:val="00251855"/>
    <w:rsid w:val="002523C4"/>
    <w:rsid w:val="0025593B"/>
    <w:rsid w:val="00255C1F"/>
    <w:rsid w:val="00260098"/>
    <w:rsid w:val="00260336"/>
    <w:rsid w:val="00260CA4"/>
    <w:rsid w:val="0026124E"/>
    <w:rsid w:val="002616CD"/>
    <w:rsid w:val="00263874"/>
    <w:rsid w:val="00263914"/>
    <w:rsid w:val="0026490F"/>
    <w:rsid w:val="00266A47"/>
    <w:rsid w:val="002701CE"/>
    <w:rsid w:val="002747DA"/>
    <w:rsid w:val="00274A90"/>
    <w:rsid w:val="0027550C"/>
    <w:rsid w:val="0027605A"/>
    <w:rsid w:val="00277543"/>
    <w:rsid w:val="00277C6B"/>
    <w:rsid w:val="00281EAD"/>
    <w:rsid w:val="002825FF"/>
    <w:rsid w:val="00283065"/>
    <w:rsid w:val="00285183"/>
    <w:rsid w:val="002911F2"/>
    <w:rsid w:val="0029201E"/>
    <w:rsid w:val="00292782"/>
    <w:rsid w:val="00292E0C"/>
    <w:rsid w:val="00293400"/>
    <w:rsid w:val="00294757"/>
    <w:rsid w:val="00297538"/>
    <w:rsid w:val="00297AD9"/>
    <w:rsid w:val="002A3AF2"/>
    <w:rsid w:val="002A766B"/>
    <w:rsid w:val="002B0000"/>
    <w:rsid w:val="002B0CBE"/>
    <w:rsid w:val="002B1ACA"/>
    <w:rsid w:val="002B1BE0"/>
    <w:rsid w:val="002B1D4C"/>
    <w:rsid w:val="002B33EA"/>
    <w:rsid w:val="002B4703"/>
    <w:rsid w:val="002B6CF0"/>
    <w:rsid w:val="002C1C24"/>
    <w:rsid w:val="002C4636"/>
    <w:rsid w:val="002C6CD0"/>
    <w:rsid w:val="002C7305"/>
    <w:rsid w:val="002C7B2F"/>
    <w:rsid w:val="002D09DF"/>
    <w:rsid w:val="002D0B8E"/>
    <w:rsid w:val="002D6270"/>
    <w:rsid w:val="002D6E66"/>
    <w:rsid w:val="002E04E3"/>
    <w:rsid w:val="002E3DF0"/>
    <w:rsid w:val="002E4783"/>
    <w:rsid w:val="002E66FB"/>
    <w:rsid w:val="002E6F7B"/>
    <w:rsid w:val="002F070D"/>
    <w:rsid w:val="002F18B3"/>
    <w:rsid w:val="002F1BA3"/>
    <w:rsid w:val="002F2FCE"/>
    <w:rsid w:val="002F3150"/>
    <w:rsid w:val="002F4583"/>
    <w:rsid w:val="002F47A9"/>
    <w:rsid w:val="002F5BB4"/>
    <w:rsid w:val="002F5CA3"/>
    <w:rsid w:val="002F6B22"/>
    <w:rsid w:val="002F6F8C"/>
    <w:rsid w:val="002F7D01"/>
    <w:rsid w:val="00300B87"/>
    <w:rsid w:val="00300D35"/>
    <w:rsid w:val="00301798"/>
    <w:rsid w:val="00303519"/>
    <w:rsid w:val="00303A18"/>
    <w:rsid w:val="00304AAF"/>
    <w:rsid w:val="0030632A"/>
    <w:rsid w:val="0030734E"/>
    <w:rsid w:val="003110A1"/>
    <w:rsid w:val="00312963"/>
    <w:rsid w:val="0031311A"/>
    <w:rsid w:val="00313209"/>
    <w:rsid w:val="0031530C"/>
    <w:rsid w:val="00315CF4"/>
    <w:rsid w:val="00315D7C"/>
    <w:rsid w:val="00315E2E"/>
    <w:rsid w:val="00320B0E"/>
    <w:rsid w:val="003252E3"/>
    <w:rsid w:val="003259ED"/>
    <w:rsid w:val="00325BEB"/>
    <w:rsid w:val="003262D1"/>
    <w:rsid w:val="00326DF9"/>
    <w:rsid w:val="00331070"/>
    <w:rsid w:val="003318DB"/>
    <w:rsid w:val="00331C8F"/>
    <w:rsid w:val="00331E2F"/>
    <w:rsid w:val="003320E0"/>
    <w:rsid w:val="0033439E"/>
    <w:rsid w:val="0033488C"/>
    <w:rsid w:val="00334F31"/>
    <w:rsid w:val="0033768C"/>
    <w:rsid w:val="0034015E"/>
    <w:rsid w:val="00340444"/>
    <w:rsid w:val="00344772"/>
    <w:rsid w:val="00347D44"/>
    <w:rsid w:val="00351327"/>
    <w:rsid w:val="00352545"/>
    <w:rsid w:val="003525F9"/>
    <w:rsid w:val="0035292B"/>
    <w:rsid w:val="003529FF"/>
    <w:rsid w:val="00353427"/>
    <w:rsid w:val="0035587E"/>
    <w:rsid w:val="003562CB"/>
    <w:rsid w:val="003564CB"/>
    <w:rsid w:val="00362373"/>
    <w:rsid w:val="003641C6"/>
    <w:rsid w:val="003656BC"/>
    <w:rsid w:val="00365CCB"/>
    <w:rsid w:val="0036601F"/>
    <w:rsid w:val="00366996"/>
    <w:rsid w:val="00366F68"/>
    <w:rsid w:val="00367F1E"/>
    <w:rsid w:val="00370DAA"/>
    <w:rsid w:val="00371AE0"/>
    <w:rsid w:val="00373AB8"/>
    <w:rsid w:val="00373B32"/>
    <w:rsid w:val="00375499"/>
    <w:rsid w:val="0038267D"/>
    <w:rsid w:val="00382DAF"/>
    <w:rsid w:val="003856D9"/>
    <w:rsid w:val="00386575"/>
    <w:rsid w:val="0039273F"/>
    <w:rsid w:val="00395175"/>
    <w:rsid w:val="003964B9"/>
    <w:rsid w:val="003A0D8A"/>
    <w:rsid w:val="003A0E5B"/>
    <w:rsid w:val="003A1739"/>
    <w:rsid w:val="003A253E"/>
    <w:rsid w:val="003A256D"/>
    <w:rsid w:val="003A3745"/>
    <w:rsid w:val="003A42E9"/>
    <w:rsid w:val="003A7B93"/>
    <w:rsid w:val="003B1904"/>
    <w:rsid w:val="003C06ED"/>
    <w:rsid w:val="003C2A42"/>
    <w:rsid w:val="003C350A"/>
    <w:rsid w:val="003C4ADE"/>
    <w:rsid w:val="003C5B9F"/>
    <w:rsid w:val="003C6360"/>
    <w:rsid w:val="003C7E88"/>
    <w:rsid w:val="003D06FB"/>
    <w:rsid w:val="003D4940"/>
    <w:rsid w:val="003D6579"/>
    <w:rsid w:val="003E0013"/>
    <w:rsid w:val="003E0EF5"/>
    <w:rsid w:val="003E1C04"/>
    <w:rsid w:val="003E4E21"/>
    <w:rsid w:val="003E56BF"/>
    <w:rsid w:val="003E7743"/>
    <w:rsid w:val="003F0B51"/>
    <w:rsid w:val="003F1EE2"/>
    <w:rsid w:val="003F3F6A"/>
    <w:rsid w:val="003F4301"/>
    <w:rsid w:val="003F4BB3"/>
    <w:rsid w:val="003F5CDC"/>
    <w:rsid w:val="003F617D"/>
    <w:rsid w:val="003F728C"/>
    <w:rsid w:val="00401319"/>
    <w:rsid w:val="00402C79"/>
    <w:rsid w:val="0040396F"/>
    <w:rsid w:val="00404900"/>
    <w:rsid w:val="00404DAE"/>
    <w:rsid w:val="00405CC1"/>
    <w:rsid w:val="004076E8"/>
    <w:rsid w:val="004079EF"/>
    <w:rsid w:val="00410618"/>
    <w:rsid w:val="00411EC4"/>
    <w:rsid w:val="00413ED1"/>
    <w:rsid w:val="00416591"/>
    <w:rsid w:val="00423CD8"/>
    <w:rsid w:val="00423DBC"/>
    <w:rsid w:val="00425BE0"/>
    <w:rsid w:val="00426419"/>
    <w:rsid w:val="00427B41"/>
    <w:rsid w:val="00427F7A"/>
    <w:rsid w:val="0043188F"/>
    <w:rsid w:val="00431F43"/>
    <w:rsid w:val="004331AC"/>
    <w:rsid w:val="00434544"/>
    <w:rsid w:val="00436768"/>
    <w:rsid w:val="004408B4"/>
    <w:rsid w:val="0044126C"/>
    <w:rsid w:val="004412F2"/>
    <w:rsid w:val="00441FF1"/>
    <w:rsid w:val="00443678"/>
    <w:rsid w:val="00447229"/>
    <w:rsid w:val="004477E6"/>
    <w:rsid w:val="00450FB9"/>
    <w:rsid w:val="00451BE0"/>
    <w:rsid w:val="004528A6"/>
    <w:rsid w:val="00453739"/>
    <w:rsid w:val="004555FD"/>
    <w:rsid w:val="00455E5F"/>
    <w:rsid w:val="0045622B"/>
    <w:rsid w:val="00456551"/>
    <w:rsid w:val="004621FA"/>
    <w:rsid w:val="00463DF4"/>
    <w:rsid w:val="004647AD"/>
    <w:rsid w:val="004648D5"/>
    <w:rsid w:val="004663D8"/>
    <w:rsid w:val="00470AEE"/>
    <w:rsid w:val="00470C0E"/>
    <w:rsid w:val="00471F6A"/>
    <w:rsid w:val="00472960"/>
    <w:rsid w:val="00476A6A"/>
    <w:rsid w:val="004779C3"/>
    <w:rsid w:val="0048034D"/>
    <w:rsid w:val="004816C5"/>
    <w:rsid w:val="004851D6"/>
    <w:rsid w:val="00486B3B"/>
    <w:rsid w:val="00491BA8"/>
    <w:rsid w:val="00492DC1"/>
    <w:rsid w:val="00493016"/>
    <w:rsid w:val="0049430E"/>
    <w:rsid w:val="0049466C"/>
    <w:rsid w:val="00495907"/>
    <w:rsid w:val="00495962"/>
    <w:rsid w:val="00496AA0"/>
    <w:rsid w:val="00497089"/>
    <w:rsid w:val="00497222"/>
    <w:rsid w:val="00497E0F"/>
    <w:rsid w:val="004A155C"/>
    <w:rsid w:val="004A1A0E"/>
    <w:rsid w:val="004A2ABB"/>
    <w:rsid w:val="004A5CBF"/>
    <w:rsid w:val="004A7DCD"/>
    <w:rsid w:val="004B3D2D"/>
    <w:rsid w:val="004B4A4A"/>
    <w:rsid w:val="004B6701"/>
    <w:rsid w:val="004B73CF"/>
    <w:rsid w:val="004B7CCE"/>
    <w:rsid w:val="004C63E0"/>
    <w:rsid w:val="004E0486"/>
    <w:rsid w:val="004E0DEF"/>
    <w:rsid w:val="004E141D"/>
    <w:rsid w:val="004E1566"/>
    <w:rsid w:val="004E225D"/>
    <w:rsid w:val="004E5248"/>
    <w:rsid w:val="004E73D0"/>
    <w:rsid w:val="004F2779"/>
    <w:rsid w:val="004F2D6D"/>
    <w:rsid w:val="004F348E"/>
    <w:rsid w:val="004F47D1"/>
    <w:rsid w:val="004F59E8"/>
    <w:rsid w:val="004F5C84"/>
    <w:rsid w:val="004F65CB"/>
    <w:rsid w:val="004F6BCE"/>
    <w:rsid w:val="00501B80"/>
    <w:rsid w:val="00502B34"/>
    <w:rsid w:val="00503B63"/>
    <w:rsid w:val="00506518"/>
    <w:rsid w:val="00506AE9"/>
    <w:rsid w:val="005070B5"/>
    <w:rsid w:val="00511435"/>
    <w:rsid w:val="00512149"/>
    <w:rsid w:val="00513088"/>
    <w:rsid w:val="00514FAF"/>
    <w:rsid w:val="00517412"/>
    <w:rsid w:val="00522ADD"/>
    <w:rsid w:val="00527366"/>
    <w:rsid w:val="0053090B"/>
    <w:rsid w:val="00530D65"/>
    <w:rsid w:val="00531D1F"/>
    <w:rsid w:val="0053200B"/>
    <w:rsid w:val="005348A7"/>
    <w:rsid w:val="00534F34"/>
    <w:rsid w:val="0053705B"/>
    <w:rsid w:val="00541A24"/>
    <w:rsid w:val="005428AE"/>
    <w:rsid w:val="00542A6E"/>
    <w:rsid w:val="0054559C"/>
    <w:rsid w:val="0054687B"/>
    <w:rsid w:val="00546FA7"/>
    <w:rsid w:val="00550088"/>
    <w:rsid w:val="005515A8"/>
    <w:rsid w:val="00551AB7"/>
    <w:rsid w:val="005521BD"/>
    <w:rsid w:val="0055257E"/>
    <w:rsid w:val="00552ECD"/>
    <w:rsid w:val="00553234"/>
    <w:rsid w:val="00555DE9"/>
    <w:rsid w:val="00556AB4"/>
    <w:rsid w:val="00557E89"/>
    <w:rsid w:val="005614CC"/>
    <w:rsid w:val="0056341D"/>
    <w:rsid w:val="00564130"/>
    <w:rsid w:val="0056474F"/>
    <w:rsid w:val="00565162"/>
    <w:rsid w:val="00565166"/>
    <w:rsid w:val="00565705"/>
    <w:rsid w:val="00567839"/>
    <w:rsid w:val="00567F0D"/>
    <w:rsid w:val="005701F2"/>
    <w:rsid w:val="00571022"/>
    <w:rsid w:val="00571FCC"/>
    <w:rsid w:val="00574F20"/>
    <w:rsid w:val="00575DB8"/>
    <w:rsid w:val="00576C89"/>
    <w:rsid w:val="00577E46"/>
    <w:rsid w:val="00583071"/>
    <w:rsid w:val="00583D39"/>
    <w:rsid w:val="00585E39"/>
    <w:rsid w:val="0058688C"/>
    <w:rsid w:val="00590B9B"/>
    <w:rsid w:val="005915BF"/>
    <w:rsid w:val="0059228A"/>
    <w:rsid w:val="00593AC1"/>
    <w:rsid w:val="00596808"/>
    <w:rsid w:val="00596CEE"/>
    <w:rsid w:val="0059793F"/>
    <w:rsid w:val="005A15CF"/>
    <w:rsid w:val="005A4F6F"/>
    <w:rsid w:val="005A5D9F"/>
    <w:rsid w:val="005B0914"/>
    <w:rsid w:val="005B14F9"/>
    <w:rsid w:val="005B1E1B"/>
    <w:rsid w:val="005B2A73"/>
    <w:rsid w:val="005B494B"/>
    <w:rsid w:val="005B5804"/>
    <w:rsid w:val="005B6AE7"/>
    <w:rsid w:val="005C0BFE"/>
    <w:rsid w:val="005C3459"/>
    <w:rsid w:val="005C3C9C"/>
    <w:rsid w:val="005C56DC"/>
    <w:rsid w:val="005C62B0"/>
    <w:rsid w:val="005C757A"/>
    <w:rsid w:val="005D0692"/>
    <w:rsid w:val="005D0FC1"/>
    <w:rsid w:val="005D3811"/>
    <w:rsid w:val="005D4E47"/>
    <w:rsid w:val="005D5045"/>
    <w:rsid w:val="005D58CD"/>
    <w:rsid w:val="005D5A50"/>
    <w:rsid w:val="005D6FA7"/>
    <w:rsid w:val="005D74E7"/>
    <w:rsid w:val="005D7E42"/>
    <w:rsid w:val="005E0196"/>
    <w:rsid w:val="005E0295"/>
    <w:rsid w:val="005E3E42"/>
    <w:rsid w:val="005E50E2"/>
    <w:rsid w:val="005E5871"/>
    <w:rsid w:val="005F0AA4"/>
    <w:rsid w:val="005F0F58"/>
    <w:rsid w:val="005F13C5"/>
    <w:rsid w:val="005F4292"/>
    <w:rsid w:val="005F4955"/>
    <w:rsid w:val="005F4AE2"/>
    <w:rsid w:val="005F64B1"/>
    <w:rsid w:val="005F731C"/>
    <w:rsid w:val="005F7770"/>
    <w:rsid w:val="005F7FE8"/>
    <w:rsid w:val="00600B2A"/>
    <w:rsid w:val="006019A8"/>
    <w:rsid w:val="00604AEF"/>
    <w:rsid w:val="00606522"/>
    <w:rsid w:val="00610706"/>
    <w:rsid w:val="00610CD3"/>
    <w:rsid w:val="00615436"/>
    <w:rsid w:val="006154F5"/>
    <w:rsid w:val="00615537"/>
    <w:rsid w:val="00615ACD"/>
    <w:rsid w:val="00616BC2"/>
    <w:rsid w:val="00617B49"/>
    <w:rsid w:val="006207CC"/>
    <w:rsid w:val="00622983"/>
    <w:rsid w:val="00622F49"/>
    <w:rsid w:val="00623121"/>
    <w:rsid w:val="006246A9"/>
    <w:rsid w:val="006255FC"/>
    <w:rsid w:val="00626020"/>
    <w:rsid w:val="00626463"/>
    <w:rsid w:val="00627713"/>
    <w:rsid w:val="0063143A"/>
    <w:rsid w:val="0063144F"/>
    <w:rsid w:val="00631634"/>
    <w:rsid w:val="00631DCB"/>
    <w:rsid w:val="00632E2A"/>
    <w:rsid w:val="0063367E"/>
    <w:rsid w:val="0063487F"/>
    <w:rsid w:val="006348DA"/>
    <w:rsid w:val="006350E9"/>
    <w:rsid w:val="00635ACE"/>
    <w:rsid w:val="00635D02"/>
    <w:rsid w:val="0064030A"/>
    <w:rsid w:val="00640BDE"/>
    <w:rsid w:val="0064124F"/>
    <w:rsid w:val="00642D52"/>
    <w:rsid w:val="0064326C"/>
    <w:rsid w:val="00643DCC"/>
    <w:rsid w:val="00645A5E"/>
    <w:rsid w:val="00650235"/>
    <w:rsid w:val="0065106E"/>
    <w:rsid w:val="00654027"/>
    <w:rsid w:val="00654B1F"/>
    <w:rsid w:val="00656714"/>
    <w:rsid w:val="00656DBD"/>
    <w:rsid w:val="00657B61"/>
    <w:rsid w:val="0066097B"/>
    <w:rsid w:val="00661650"/>
    <w:rsid w:val="0066483A"/>
    <w:rsid w:val="00664AD3"/>
    <w:rsid w:val="00664B95"/>
    <w:rsid w:val="00664D45"/>
    <w:rsid w:val="00665615"/>
    <w:rsid w:val="0066741E"/>
    <w:rsid w:val="0067103A"/>
    <w:rsid w:val="006710A0"/>
    <w:rsid w:val="00671267"/>
    <w:rsid w:val="00671949"/>
    <w:rsid w:val="00672F87"/>
    <w:rsid w:val="00674381"/>
    <w:rsid w:val="0067485B"/>
    <w:rsid w:val="00674FE7"/>
    <w:rsid w:val="00676C4A"/>
    <w:rsid w:val="00677A69"/>
    <w:rsid w:val="006820CB"/>
    <w:rsid w:val="006859A0"/>
    <w:rsid w:val="00686875"/>
    <w:rsid w:val="0068768F"/>
    <w:rsid w:val="00687E3F"/>
    <w:rsid w:val="00692324"/>
    <w:rsid w:val="00693228"/>
    <w:rsid w:val="0069348F"/>
    <w:rsid w:val="006936C5"/>
    <w:rsid w:val="006972F3"/>
    <w:rsid w:val="006A0E0B"/>
    <w:rsid w:val="006A0F4E"/>
    <w:rsid w:val="006A29BD"/>
    <w:rsid w:val="006A2A0F"/>
    <w:rsid w:val="006A2F4A"/>
    <w:rsid w:val="006A7837"/>
    <w:rsid w:val="006B1D4E"/>
    <w:rsid w:val="006B2A01"/>
    <w:rsid w:val="006B3504"/>
    <w:rsid w:val="006B3948"/>
    <w:rsid w:val="006B5DF8"/>
    <w:rsid w:val="006B7667"/>
    <w:rsid w:val="006B7AA2"/>
    <w:rsid w:val="006C046A"/>
    <w:rsid w:val="006C100C"/>
    <w:rsid w:val="006C10CD"/>
    <w:rsid w:val="006C1A1B"/>
    <w:rsid w:val="006C29DC"/>
    <w:rsid w:val="006C3DD7"/>
    <w:rsid w:val="006C71D1"/>
    <w:rsid w:val="006C79F6"/>
    <w:rsid w:val="006D09B8"/>
    <w:rsid w:val="006D2A1C"/>
    <w:rsid w:val="006D50A2"/>
    <w:rsid w:val="006D5847"/>
    <w:rsid w:val="006D6516"/>
    <w:rsid w:val="006D72AB"/>
    <w:rsid w:val="006D7A0D"/>
    <w:rsid w:val="006E0B7A"/>
    <w:rsid w:val="006E0BD7"/>
    <w:rsid w:val="006E0C41"/>
    <w:rsid w:val="006E1861"/>
    <w:rsid w:val="006E23DB"/>
    <w:rsid w:val="006E5560"/>
    <w:rsid w:val="006F030E"/>
    <w:rsid w:val="006F3C30"/>
    <w:rsid w:val="006F66FC"/>
    <w:rsid w:val="006F7735"/>
    <w:rsid w:val="006F7C00"/>
    <w:rsid w:val="00701628"/>
    <w:rsid w:val="0070164A"/>
    <w:rsid w:val="0070215F"/>
    <w:rsid w:val="00705A86"/>
    <w:rsid w:val="0070710A"/>
    <w:rsid w:val="00711187"/>
    <w:rsid w:val="00711990"/>
    <w:rsid w:val="00712904"/>
    <w:rsid w:val="00713634"/>
    <w:rsid w:val="0071406B"/>
    <w:rsid w:val="00714248"/>
    <w:rsid w:val="0071540B"/>
    <w:rsid w:val="007154EE"/>
    <w:rsid w:val="007155A2"/>
    <w:rsid w:val="007171E0"/>
    <w:rsid w:val="007208D1"/>
    <w:rsid w:val="007229AB"/>
    <w:rsid w:val="00722AD4"/>
    <w:rsid w:val="00726484"/>
    <w:rsid w:val="00727648"/>
    <w:rsid w:val="00730600"/>
    <w:rsid w:val="007307E5"/>
    <w:rsid w:val="007329C1"/>
    <w:rsid w:val="007360A6"/>
    <w:rsid w:val="007369EE"/>
    <w:rsid w:val="0073728C"/>
    <w:rsid w:val="00740692"/>
    <w:rsid w:val="00741988"/>
    <w:rsid w:val="00741CED"/>
    <w:rsid w:val="00743F18"/>
    <w:rsid w:val="0074453F"/>
    <w:rsid w:val="00746DEE"/>
    <w:rsid w:val="00751EA7"/>
    <w:rsid w:val="007520F0"/>
    <w:rsid w:val="00753998"/>
    <w:rsid w:val="00755E83"/>
    <w:rsid w:val="0075617E"/>
    <w:rsid w:val="00757EC3"/>
    <w:rsid w:val="00760EE2"/>
    <w:rsid w:val="00761065"/>
    <w:rsid w:val="00761124"/>
    <w:rsid w:val="00762F02"/>
    <w:rsid w:val="00764282"/>
    <w:rsid w:val="00765062"/>
    <w:rsid w:val="00765340"/>
    <w:rsid w:val="00766F37"/>
    <w:rsid w:val="00767196"/>
    <w:rsid w:val="00767406"/>
    <w:rsid w:val="00774165"/>
    <w:rsid w:val="00780258"/>
    <w:rsid w:val="007809DC"/>
    <w:rsid w:val="00783340"/>
    <w:rsid w:val="0078488F"/>
    <w:rsid w:val="0078612A"/>
    <w:rsid w:val="00786CAC"/>
    <w:rsid w:val="00790390"/>
    <w:rsid w:val="0079079C"/>
    <w:rsid w:val="007909C4"/>
    <w:rsid w:val="00791489"/>
    <w:rsid w:val="00792B3E"/>
    <w:rsid w:val="007932D4"/>
    <w:rsid w:val="007937D1"/>
    <w:rsid w:val="007947AB"/>
    <w:rsid w:val="0079540A"/>
    <w:rsid w:val="00797ABD"/>
    <w:rsid w:val="007A1922"/>
    <w:rsid w:val="007A44BC"/>
    <w:rsid w:val="007A537B"/>
    <w:rsid w:val="007A5DE7"/>
    <w:rsid w:val="007B1D16"/>
    <w:rsid w:val="007B29DD"/>
    <w:rsid w:val="007B4803"/>
    <w:rsid w:val="007B4EC6"/>
    <w:rsid w:val="007B7030"/>
    <w:rsid w:val="007C1750"/>
    <w:rsid w:val="007C18B6"/>
    <w:rsid w:val="007C1AB8"/>
    <w:rsid w:val="007C1C1D"/>
    <w:rsid w:val="007C206C"/>
    <w:rsid w:val="007C2BFE"/>
    <w:rsid w:val="007C3C04"/>
    <w:rsid w:val="007C415C"/>
    <w:rsid w:val="007C5446"/>
    <w:rsid w:val="007C5A26"/>
    <w:rsid w:val="007C63E2"/>
    <w:rsid w:val="007D08F6"/>
    <w:rsid w:val="007D1489"/>
    <w:rsid w:val="007D4255"/>
    <w:rsid w:val="007D5A9D"/>
    <w:rsid w:val="007D63B1"/>
    <w:rsid w:val="007E1CAB"/>
    <w:rsid w:val="007E2DCC"/>
    <w:rsid w:val="007E3091"/>
    <w:rsid w:val="007E311C"/>
    <w:rsid w:val="007E62AC"/>
    <w:rsid w:val="007E6830"/>
    <w:rsid w:val="007E78EA"/>
    <w:rsid w:val="007F10D5"/>
    <w:rsid w:val="007F33CA"/>
    <w:rsid w:val="007F4A46"/>
    <w:rsid w:val="007F506F"/>
    <w:rsid w:val="007F54A3"/>
    <w:rsid w:val="007F592A"/>
    <w:rsid w:val="008024F8"/>
    <w:rsid w:val="008029AD"/>
    <w:rsid w:val="008032BC"/>
    <w:rsid w:val="00804555"/>
    <w:rsid w:val="008054C6"/>
    <w:rsid w:val="00805CC0"/>
    <w:rsid w:val="00810BFF"/>
    <w:rsid w:val="008112CC"/>
    <w:rsid w:val="008128DC"/>
    <w:rsid w:val="0081379F"/>
    <w:rsid w:val="00815B2D"/>
    <w:rsid w:val="008164E3"/>
    <w:rsid w:val="00816580"/>
    <w:rsid w:val="00817091"/>
    <w:rsid w:val="00821BE9"/>
    <w:rsid w:val="00822822"/>
    <w:rsid w:val="00822E56"/>
    <w:rsid w:val="00823060"/>
    <w:rsid w:val="008242F6"/>
    <w:rsid w:val="00824656"/>
    <w:rsid w:val="00824815"/>
    <w:rsid w:val="00825ED7"/>
    <w:rsid w:val="0082648A"/>
    <w:rsid w:val="00826833"/>
    <w:rsid w:val="00826DD4"/>
    <w:rsid w:val="00827592"/>
    <w:rsid w:val="008310DE"/>
    <w:rsid w:val="0083158D"/>
    <w:rsid w:val="00833E01"/>
    <w:rsid w:val="008358BF"/>
    <w:rsid w:val="00835ECE"/>
    <w:rsid w:val="008366FB"/>
    <w:rsid w:val="008369B1"/>
    <w:rsid w:val="0084013D"/>
    <w:rsid w:val="00842523"/>
    <w:rsid w:val="00843CE9"/>
    <w:rsid w:val="0084684F"/>
    <w:rsid w:val="008468E2"/>
    <w:rsid w:val="00846B17"/>
    <w:rsid w:val="00850C02"/>
    <w:rsid w:val="00851217"/>
    <w:rsid w:val="00852457"/>
    <w:rsid w:val="00855F23"/>
    <w:rsid w:val="0086106E"/>
    <w:rsid w:val="00861940"/>
    <w:rsid w:val="008620F5"/>
    <w:rsid w:val="00862501"/>
    <w:rsid w:val="00862BF6"/>
    <w:rsid w:val="0086343C"/>
    <w:rsid w:val="008741C4"/>
    <w:rsid w:val="008741E4"/>
    <w:rsid w:val="008749A2"/>
    <w:rsid w:val="008757C9"/>
    <w:rsid w:val="00877238"/>
    <w:rsid w:val="0088025C"/>
    <w:rsid w:val="0088108B"/>
    <w:rsid w:val="00881B47"/>
    <w:rsid w:val="00882C35"/>
    <w:rsid w:val="00883023"/>
    <w:rsid w:val="00884200"/>
    <w:rsid w:val="00884E6A"/>
    <w:rsid w:val="008855BF"/>
    <w:rsid w:val="00885C08"/>
    <w:rsid w:val="008861EE"/>
    <w:rsid w:val="008871CE"/>
    <w:rsid w:val="0089067A"/>
    <w:rsid w:val="00892C35"/>
    <w:rsid w:val="008939BA"/>
    <w:rsid w:val="008960AB"/>
    <w:rsid w:val="008964CF"/>
    <w:rsid w:val="00897E51"/>
    <w:rsid w:val="008A0C4F"/>
    <w:rsid w:val="008A26B2"/>
    <w:rsid w:val="008A3684"/>
    <w:rsid w:val="008A3EFB"/>
    <w:rsid w:val="008A4341"/>
    <w:rsid w:val="008A4BA2"/>
    <w:rsid w:val="008A5A71"/>
    <w:rsid w:val="008B03C4"/>
    <w:rsid w:val="008B3603"/>
    <w:rsid w:val="008B5444"/>
    <w:rsid w:val="008B5560"/>
    <w:rsid w:val="008B5B35"/>
    <w:rsid w:val="008B6AF2"/>
    <w:rsid w:val="008B7573"/>
    <w:rsid w:val="008C0844"/>
    <w:rsid w:val="008C1266"/>
    <w:rsid w:val="008C2C9B"/>
    <w:rsid w:val="008C4895"/>
    <w:rsid w:val="008C4EFF"/>
    <w:rsid w:val="008C62D9"/>
    <w:rsid w:val="008C681D"/>
    <w:rsid w:val="008D0074"/>
    <w:rsid w:val="008D1B67"/>
    <w:rsid w:val="008D25F3"/>
    <w:rsid w:val="008D2F4F"/>
    <w:rsid w:val="008D335A"/>
    <w:rsid w:val="008D3BBA"/>
    <w:rsid w:val="008D3E4C"/>
    <w:rsid w:val="008D4B6D"/>
    <w:rsid w:val="008D5599"/>
    <w:rsid w:val="008D5699"/>
    <w:rsid w:val="008D7D7C"/>
    <w:rsid w:val="008E494F"/>
    <w:rsid w:val="008E4FF4"/>
    <w:rsid w:val="008E5038"/>
    <w:rsid w:val="008E541C"/>
    <w:rsid w:val="008E5F23"/>
    <w:rsid w:val="008E7B61"/>
    <w:rsid w:val="008E7EC7"/>
    <w:rsid w:val="008F06DA"/>
    <w:rsid w:val="008F1288"/>
    <w:rsid w:val="008F2A7D"/>
    <w:rsid w:val="008F2E85"/>
    <w:rsid w:val="008F546E"/>
    <w:rsid w:val="008F7FA7"/>
    <w:rsid w:val="009007B1"/>
    <w:rsid w:val="00902AB3"/>
    <w:rsid w:val="0090364E"/>
    <w:rsid w:val="009059F8"/>
    <w:rsid w:val="00912D46"/>
    <w:rsid w:val="00914383"/>
    <w:rsid w:val="00914C94"/>
    <w:rsid w:val="00915146"/>
    <w:rsid w:val="0091657D"/>
    <w:rsid w:val="00916865"/>
    <w:rsid w:val="00917AF6"/>
    <w:rsid w:val="0092107A"/>
    <w:rsid w:val="0092239A"/>
    <w:rsid w:val="0092359E"/>
    <w:rsid w:val="00923884"/>
    <w:rsid w:val="00925EF6"/>
    <w:rsid w:val="009312D2"/>
    <w:rsid w:val="009313F0"/>
    <w:rsid w:val="009337D4"/>
    <w:rsid w:val="0093460D"/>
    <w:rsid w:val="00935CD0"/>
    <w:rsid w:val="00935E65"/>
    <w:rsid w:val="00940642"/>
    <w:rsid w:val="00941519"/>
    <w:rsid w:val="00941BB1"/>
    <w:rsid w:val="00942242"/>
    <w:rsid w:val="00942508"/>
    <w:rsid w:val="009444ED"/>
    <w:rsid w:val="00944BFF"/>
    <w:rsid w:val="009461C3"/>
    <w:rsid w:val="009461E3"/>
    <w:rsid w:val="009500A2"/>
    <w:rsid w:val="00950CDF"/>
    <w:rsid w:val="00951DA4"/>
    <w:rsid w:val="00955054"/>
    <w:rsid w:val="00956DCD"/>
    <w:rsid w:val="0095776D"/>
    <w:rsid w:val="00957E18"/>
    <w:rsid w:val="009623C7"/>
    <w:rsid w:val="00962480"/>
    <w:rsid w:val="0096284E"/>
    <w:rsid w:val="00962895"/>
    <w:rsid w:val="009652D7"/>
    <w:rsid w:val="009664BC"/>
    <w:rsid w:val="00970F2A"/>
    <w:rsid w:val="009716FA"/>
    <w:rsid w:val="00972AE9"/>
    <w:rsid w:val="00972B99"/>
    <w:rsid w:val="009739D2"/>
    <w:rsid w:val="00974352"/>
    <w:rsid w:val="0097488D"/>
    <w:rsid w:val="009755E5"/>
    <w:rsid w:val="00975F92"/>
    <w:rsid w:val="00976EC1"/>
    <w:rsid w:val="009823E8"/>
    <w:rsid w:val="009827C7"/>
    <w:rsid w:val="00982B50"/>
    <w:rsid w:val="00984421"/>
    <w:rsid w:val="009844AC"/>
    <w:rsid w:val="00984512"/>
    <w:rsid w:val="009845E3"/>
    <w:rsid w:val="00987519"/>
    <w:rsid w:val="009878F7"/>
    <w:rsid w:val="00987D91"/>
    <w:rsid w:val="00992BBF"/>
    <w:rsid w:val="00993536"/>
    <w:rsid w:val="00993760"/>
    <w:rsid w:val="0099390E"/>
    <w:rsid w:val="0099614A"/>
    <w:rsid w:val="009A0F89"/>
    <w:rsid w:val="009A3986"/>
    <w:rsid w:val="009A42F3"/>
    <w:rsid w:val="009A55D9"/>
    <w:rsid w:val="009A7DB4"/>
    <w:rsid w:val="009B0D81"/>
    <w:rsid w:val="009B3234"/>
    <w:rsid w:val="009B436B"/>
    <w:rsid w:val="009B4B81"/>
    <w:rsid w:val="009B5248"/>
    <w:rsid w:val="009B5F1F"/>
    <w:rsid w:val="009B6799"/>
    <w:rsid w:val="009B6E81"/>
    <w:rsid w:val="009B714E"/>
    <w:rsid w:val="009B7CD1"/>
    <w:rsid w:val="009C0413"/>
    <w:rsid w:val="009C1470"/>
    <w:rsid w:val="009C1C1F"/>
    <w:rsid w:val="009C354E"/>
    <w:rsid w:val="009C78FD"/>
    <w:rsid w:val="009D05C7"/>
    <w:rsid w:val="009D17E3"/>
    <w:rsid w:val="009D63FF"/>
    <w:rsid w:val="009D668C"/>
    <w:rsid w:val="009D6A2D"/>
    <w:rsid w:val="009D6D82"/>
    <w:rsid w:val="009D75E9"/>
    <w:rsid w:val="009E17A1"/>
    <w:rsid w:val="009E1AF1"/>
    <w:rsid w:val="009E309C"/>
    <w:rsid w:val="009E4C4A"/>
    <w:rsid w:val="009E4D43"/>
    <w:rsid w:val="009E6FE5"/>
    <w:rsid w:val="009F0639"/>
    <w:rsid w:val="009F2AFA"/>
    <w:rsid w:val="009F2CE9"/>
    <w:rsid w:val="009F36AB"/>
    <w:rsid w:val="009F4CF7"/>
    <w:rsid w:val="009F6957"/>
    <w:rsid w:val="009F7CAC"/>
    <w:rsid w:val="00A00667"/>
    <w:rsid w:val="00A03732"/>
    <w:rsid w:val="00A06BD9"/>
    <w:rsid w:val="00A0722E"/>
    <w:rsid w:val="00A07687"/>
    <w:rsid w:val="00A10777"/>
    <w:rsid w:val="00A13DD2"/>
    <w:rsid w:val="00A2129F"/>
    <w:rsid w:val="00A224F5"/>
    <w:rsid w:val="00A227C4"/>
    <w:rsid w:val="00A23138"/>
    <w:rsid w:val="00A23272"/>
    <w:rsid w:val="00A242E3"/>
    <w:rsid w:val="00A2675A"/>
    <w:rsid w:val="00A310DD"/>
    <w:rsid w:val="00A3212D"/>
    <w:rsid w:val="00A34489"/>
    <w:rsid w:val="00A34C22"/>
    <w:rsid w:val="00A35CE2"/>
    <w:rsid w:val="00A35DE5"/>
    <w:rsid w:val="00A36158"/>
    <w:rsid w:val="00A3678C"/>
    <w:rsid w:val="00A369AA"/>
    <w:rsid w:val="00A375A4"/>
    <w:rsid w:val="00A40C74"/>
    <w:rsid w:val="00A4126E"/>
    <w:rsid w:val="00A4324C"/>
    <w:rsid w:val="00A43AA1"/>
    <w:rsid w:val="00A43AEE"/>
    <w:rsid w:val="00A44A60"/>
    <w:rsid w:val="00A45A2F"/>
    <w:rsid w:val="00A4690B"/>
    <w:rsid w:val="00A46F7F"/>
    <w:rsid w:val="00A4783C"/>
    <w:rsid w:val="00A50162"/>
    <w:rsid w:val="00A50531"/>
    <w:rsid w:val="00A50CD0"/>
    <w:rsid w:val="00A51A98"/>
    <w:rsid w:val="00A51BCC"/>
    <w:rsid w:val="00A51F7D"/>
    <w:rsid w:val="00A52941"/>
    <w:rsid w:val="00A52F0C"/>
    <w:rsid w:val="00A53971"/>
    <w:rsid w:val="00A54167"/>
    <w:rsid w:val="00A55898"/>
    <w:rsid w:val="00A560A4"/>
    <w:rsid w:val="00A5773F"/>
    <w:rsid w:val="00A6088C"/>
    <w:rsid w:val="00A61A8B"/>
    <w:rsid w:val="00A62EEB"/>
    <w:rsid w:val="00A650EB"/>
    <w:rsid w:val="00A65A6A"/>
    <w:rsid w:val="00A65EA6"/>
    <w:rsid w:val="00A702A1"/>
    <w:rsid w:val="00A711B5"/>
    <w:rsid w:val="00A71878"/>
    <w:rsid w:val="00A71C28"/>
    <w:rsid w:val="00A7209F"/>
    <w:rsid w:val="00A73925"/>
    <w:rsid w:val="00A73979"/>
    <w:rsid w:val="00A7446B"/>
    <w:rsid w:val="00A747C5"/>
    <w:rsid w:val="00A748DF"/>
    <w:rsid w:val="00A75C95"/>
    <w:rsid w:val="00A7681E"/>
    <w:rsid w:val="00A76F25"/>
    <w:rsid w:val="00A813F5"/>
    <w:rsid w:val="00A81421"/>
    <w:rsid w:val="00A81EC2"/>
    <w:rsid w:val="00A82DF9"/>
    <w:rsid w:val="00A83575"/>
    <w:rsid w:val="00A84D2B"/>
    <w:rsid w:val="00A86F39"/>
    <w:rsid w:val="00A917A3"/>
    <w:rsid w:val="00A9325B"/>
    <w:rsid w:val="00A93B23"/>
    <w:rsid w:val="00A942D1"/>
    <w:rsid w:val="00A96772"/>
    <w:rsid w:val="00A96E53"/>
    <w:rsid w:val="00A9797A"/>
    <w:rsid w:val="00AA0B44"/>
    <w:rsid w:val="00AA0F36"/>
    <w:rsid w:val="00AA269B"/>
    <w:rsid w:val="00AA34C5"/>
    <w:rsid w:val="00AA3E6C"/>
    <w:rsid w:val="00AA562B"/>
    <w:rsid w:val="00AA5F03"/>
    <w:rsid w:val="00AB07E3"/>
    <w:rsid w:val="00AB49C3"/>
    <w:rsid w:val="00AB525F"/>
    <w:rsid w:val="00AB76D8"/>
    <w:rsid w:val="00AB7AA5"/>
    <w:rsid w:val="00AB7AEE"/>
    <w:rsid w:val="00AC1553"/>
    <w:rsid w:val="00AC1C5A"/>
    <w:rsid w:val="00AC3559"/>
    <w:rsid w:val="00AC5E21"/>
    <w:rsid w:val="00AC73E4"/>
    <w:rsid w:val="00AD45B0"/>
    <w:rsid w:val="00AD45F3"/>
    <w:rsid w:val="00AD5959"/>
    <w:rsid w:val="00AD5AE0"/>
    <w:rsid w:val="00AD7239"/>
    <w:rsid w:val="00AD7416"/>
    <w:rsid w:val="00AE12D0"/>
    <w:rsid w:val="00AE22DD"/>
    <w:rsid w:val="00AE3608"/>
    <w:rsid w:val="00AE48CE"/>
    <w:rsid w:val="00AE5F54"/>
    <w:rsid w:val="00AE6111"/>
    <w:rsid w:val="00AE6E8A"/>
    <w:rsid w:val="00AF0199"/>
    <w:rsid w:val="00AF183E"/>
    <w:rsid w:val="00AF38CF"/>
    <w:rsid w:val="00AF61F3"/>
    <w:rsid w:val="00B01725"/>
    <w:rsid w:val="00B018C8"/>
    <w:rsid w:val="00B03B5D"/>
    <w:rsid w:val="00B0494C"/>
    <w:rsid w:val="00B05324"/>
    <w:rsid w:val="00B0725C"/>
    <w:rsid w:val="00B101E7"/>
    <w:rsid w:val="00B11012"/>
    <w:rsid w:val="00B1260E"/>
    <w:rsid w:val="00B14928"/>
    <w:rsid w:val="00B14CDE"/>
    <w:rsid w:val="00B14D40"/>
    <w:rsid w:val="00B204BD"/>
    <w:rsid w:val="00B20EEA"/>
    <w:rsid w:val="00B214B3"/>
    <w:rsid w:val="00B21A0F"/>
    <w:rsid w:val="00B224D0"/>
    <w:rsid w:val="00B22B55"/>
    <w:rsid w:val="00B234E8"/>
    <w:rsid w:val="00B23818"/>
    <w:rsid w:val="00B24345"/>
    <w:rsid w:val="00B24772"/>
    <w:rsid w:val="00B262BE"/>
    <w:rsid w:val="00B26C43"/>
    <w:rsid w:val="00B30602"/>
    <w:rsid w:val="00B30A55"/>
    <w:rsid w:val="00B31BD6"/>
    <w:rsid w:val="00B332A6"/>
    <w:rsid w:val="00B33601"/>
    <w:rsid w:val="00B33C47"/>
    <w:rsid w:val="00B34AE3"/>
    <w:rsid w:val="00B3561E"/>
    <w:rsid w:val="00B367CD"/>
    <w:rsid w:val="00B40C8E"/>
    <w:rsid w:val="00B4103A"/>
    <w:rsid w:val="00B4143A"/>
    <w:rsid w:val="00B41551"/>
    <w:rsid w:val="00B41CF8"/>
    <w:rsid w:val="00B422CE"/>
    <w:rsid w:val="00B45676"/>
    <w:rsid w:val="00B46000"/>
    <w:rsid w:val="00B46B0F"/>
    <w:rsid w:val="00B46BCF"/>
    <w:rsid w:val="00B46DBF"/>
    <w:rsid w:val="00B512D5"/>
    <w:rsid w:val="00B51E8E"/>
    <w:rsid w:val="00B53336"/>
    <w:rsid w:val="00B554E9"/>
    <w:rsid w:val="00B5570E"/>
    <w:rsid w:val="00B56D16"/>
    <w:rsid w:val="00B62084"/>
    <w:rsid w:val="00B63B69"/>
    <w:rsid w:val="00B64F7E"/>
    <w:rsid w:val="00B66EB7"/>
    <w:rsid w:val="00B71ACA"/>
    <w:rsid w:val="00B71C1E"/>
    <w:rsid w:val="00B72AEF"/>
    <w:rsid w:val="00B737E8"/>
    <w:rsid w:val="00B766EF"/>
    <w:rsid w:val="00B80291"/>
    <w:rsid w:val="00B806D8"/>
    <w:rsid w:val="00B827BE"/>
    <w:rsid w:val="00B8347C"/>
    <w:rsid w:val="00B85382"/>
    <w:rsid w:val="00B85E54"/>
    <w:rsid w:val="00B87A93"/>
    <w:rsid w:val="00B90409"/>
    <w:rsid w:val="00B91DD4"/>
    <w:rsid w:val="00B94447"/>
    <w:rsid w:val="00B94E2F"/>
    <w:rsid w:val="00B9546F"/>
    <w:rsid w:val="00B95B3A"/>
    <w:rsid w:val="00BA3108"/>
    <w:rsid w:val="00BA45C8"/>
    <w:rsid w:val="00BA5C9A"/>
    <w:rsid w:val="00BB2F90"/>
    <w:rsid w:val="00BB3A1C"/>
    <w:rsid w:val="00BB4BA9"/>
    <w:rsid w:val="00BB4BFD"/>
    <w:rsid w:val="00BB617C"/>
    <w:rsid w:val="00BB7B94"/>
    <w:rsid w:val="00BC0FC6"/>
    <w:rsid w:val="00BC29FA"/>
    <w:rsid w:val="00BC378C"/>
    <w:rsid w:val="00BC6183"/>
    <w:rsid w:val="00BC6BAC"/>
    <w:rsid w:val="00BC6BD9"/>
    <w:rsid w:val="00BD083C"/>
    <w:rsid w:val="00BD0AB9"/>
    <w:rsid w:val="00BD0E8F"/>
    <w:rsid w:val="00BD1CDA"/>
    <w:rsid w:val="00BD2D05"/>
    <w:rsid w:val="00BD5E02"/>
    <w:rsid w:val="00BD5F80"/>
    <w:rsid w:val="00BD6E30"/>
    <w:rsid w:val="00BE04CB"/>
    <w:rsid w:val="00BE1428"/>
    <w:rsid w:val="00BE2B39"/>
    <w:rsid w:val="00BE3233"/>
    <w:rsid w:val="00BE4910"/>
    <w:rsid w:val="00BE4C22"/>
    <w:rsid w:val="00BE4EEA"/>
    <w:rsid w:val="00BE639A"/>
    <w:rsid w:val="00BE6C03"/>
    <w:rsid w:val="00BE6CD6"/>
    <w:rsid w:val="00BF1F0C"/>
    <w:rsid w:val="00BF2936"/>
    <w:rsid w:val="00BF2BEB"/>
    <w:rsid w:val="00C00596"/>
    <w:rsid w:val="00C0100F"/>
    <w:rsid w:val="00C01505"/>
    <w:rsid w:val="00C01BBC"/>
    <w:rsid w:val="00C0456E"/>
    <w:rsid w:val="00C05663"/>
    <w:rsid w:val="00C06244"/>
    <w:rsid w:val="00C06A50"/>
    <w:rsid w:val="00C074CF"/>
    <w:rsid w:val="00C11986"/>
    <w:rsid w:val="00C119E1"/>
    <w:rsid w:val="00C14C9E"/>
    <w:rsid w:val="00C164B5"/>
    <w:rsid w:val="00C17C69"/>
    <w:rsid w:val="00C204DF"/>
    <w:rsid w:val="00C218BD"/>
    <w:rsid w:val="00C23B1D"/>
    <w:rsid w:val="00C24540"/>
    <w:rsid w:val="00C2573E"/>
    <w:rsid w:val="00C3061F"/>
    <w:rsid w:val="00C314B3"/>
    <w:rsid w:val="00C32986"/>
    <w:rsid w:val="00C35297"/>
    <w:rsid w:val="00C36BB4"/>
    <w:rsid w:val="00C376DC"/>
    <w:rsid w:val="00C40CEF"/>
    <w:rsid w:val="00C425F9"/>
    <w:rsid w:val="00C43552"/>
    <w:rsid w:val="00C44DD3"/>
    <w:rsid w:val="00C44F7E"/>
    <w:rsid w:val="00C476FA"/>
    <w:rsid w:val="00C50BFE"/>
    <w:rsid w:val="00C53149"/>
    <w:rsid w:val="00C56900"/>
    <w:rsid w:val="00C569E6"/>
    <w:rsid w:val="00C56DE3"/>
    <w:rsid w:val="00C6172F"/>
    <w:rsid w:val="00C618E9"/>
    <w:rsid w:val="00C61A68"/>
    <w:rsid w:val="00C62CB3"/>
    <w:rsid w:val="00C62D5C"/>
    <w:rsid w:val="00C63442"/>
    <w:rsid w:val="00C64DFD"/>
    <w:rsid w:val="00C650F0"/>
    <w:rsid w:val="00C65985"/>
    <w:rsid w:val="00C660E1"/>
    <w:rsid w:val="00C70172"/>
    <w:rsid w:val="00C71894"/>
    <w:rsid w:val="00C71D90"/>
    <w:rsid w:val="00C7474E"/>
    <w:rsid w:val="00C74893"/>
    <w:rsid w:val="00C754A6"/>
    <w:rsid w:val="00C75B43"/>
    <w:rsid w:val="00C7600E"/>
    <w:rsid w:val="00C76A29"/>
    <w:rsid w:val="00C771BE"/>
    <w:rsid w:val="00C81DF9"/>
    <w:rsid w:val="00C82857"/>
    <w:rsid w:val="00C8351D"/>
    <w:rsid w:val="00C83FBD"/>
    <w:rsid w:val="00C85247"/>
    <w:rsid w:val="00C85A89"/>
    <w:rsid w:val="00C871E2"/>
    <w:rsid w:val="00C878B5"/>
    <w:rsid w:val="00C87E27"/>
    <w:rsid w:val="00C87ECE"/>
    <w:rsid w:val="00C9050F"/>
    <w:rsid w:val="00C90D24"/>
    <w:rsid w:val="00C90F7C"/>
    <w:rsid w:val="00C917DE"/>
    <w:rsid w:val="00C91C4A"/>
    <w:rsid w:val="00C91EB0"/>
    <w:rsid w:val="00C91EB4"/>
    <w:rsid w:val="00C92F67"/>
    <w:rsid w:val="00C93316"/>
    <w:rsid w:val="00C945C7"/>
    <w:rsid w:val="00C945FA"/>
    <w:rsid w:val="00C94EED"/>
    <w:rsid w:val="00C95F21"/>
    <w:rsid w:val="00C96505"/>
    <w:rsid w:val="00C97104"/>
    <w:rsid w:val="00CA4EFD"/>
    <w:rsid w:val="00CA66B5"/>
    <w:rsid w:val="00CA6F6B"/>
    <w:rsid w:val="00CB0224"/>
    <w:rsid w:val="00CB11AB"/>
    <w:rsid w:val="00CB3D9E"/>
    <w:rsid w:val="00CB5992"/>
    <w:rsid w:val="00CB5D01"/>
    <w:rsid w:val="00CB75EC"/>
    <w:rsid w:val="00CC1E1A"/>
    <w:rsid w:val="00CC2C0E"/>
    <w:rsid w:val="00CC5D8F"/>
    <w:rsid w:val="00CC7B44"/>
    <w:rsid w:val="00CD00D8"/>
    <w:rsid w:val="00CD09C0"/>
    <w:rsid w:val="00CD0B5F"/>
    <w:rsid w:val="00CD158F"/>
    <w:rsid w:val="00CD1B1D"/>
    <w:rsid w:val="00CD2204"/>
    <w:rsid w:val="00CD2BA5"/>
    <w:rsid w:val="00CD30CF"/>
    <w:rsid w:val="00CD5817"/>
    <w:rsid w:val="00CD646F"/>
    <w:rsid w:val="00CE1CDE"/>
    <w:rsid w:val="00CE259B"/>
    <w:rsid w:val="00CE4467"/>
    <w:rsid w:val="00CE4D5E"/>
    <w:rsid w:val="00CF023E"/>
    <w:rsid w:val="00CF1C68"/>
    <w:rsid w:val="00CF27B5"/>
    <w:rsid w:val="00CF2C4C"/>
    <w:rsid w:val="00CF37FD"/>
    <w:rsid w:val="00CF4B83"/>
    <w:rsid w:val="00CF5E98"/>
    <w:rsid w:val="00D00557"/>
    <w:rsid w:val="00D00584"/>
    <w:rsid w:val="00D03AA8"/>
    <w:rsid w:val="00D04A7F"/>
    <w:rsid w:val="00D04C16"/>
    <w:rsid w:val="00D061F1"/>
    <w:rsid w:val="00D068D8"/>
    <w:rsid w:val="00D07C45"/>
    <w:rsid w:val="00D1214B"/>
    <w:rsid w:val="00D14CB8"/>
    <w:rsid w:val="00D15328"/>
    <w:rsid w:val="00D17F55"/>
    <w:rsid w:val="00D200B2"/>
    <w:rsid w:val="00D213F1"/>
    <w:rsid w:val="00D23834"/>
    <w:rsid w:val="00D245FB"/>
    <w:rsid w:val="00D24BE1"/>
    <w:rsid w:val="00D25215"/>
    <w:rsid w:val="00D26021"/>
    <w:rsid w:val="00D272ED"/>
    <w:rsid w:val="00D3093B"/>
    <w:rsid w:val="00D31D45"/>
    <w:rsid w:val="00D35C4D"/>
    <w:rsid w:val="00D3717B"/>
    <w:rsid w:val="00D40488"/>
    <w:rsid w:val="00D41876"/>
    <w:rsid w:val="00D41A61"/>
    <w:rsid w:val="00D41C66"/>
    <w:rsid w:val="00D428AD"/>
    <w:rsid w:val="00D43597"/>
    <w:rsid w:val="00D44B82"/>
    <w:rsid w:val="00D50094"/>
    <w:rsid w:val="00D51B9A"/>
    <w:rsid w:val="00D53E74"/>
    <w:rsid w:val="00D54DFF"/>
    <w:rsid w:val="00D54F8F"/>
    <w:rsid w:val="00D56200"/>
    <w:rsid w:val="00D607A9"/>
    <w:rsid w:val="00D613F2"/>
    <w:rsid w:val="00D61B2B"/>
    <w:rsid w:val="00D62A33"/>
    <w:rsid w:val="00D6386E"/>
    <w:rsid w:val="00D63C9C"/>
    <w:rsid w:val="00D728E9"/>
    <w:rsid w:val="00D72B0C"/>
    <w:rsid w:val="00D73062"/>
    <w:rsid w:val="00D7394F"/>
    <w:rsid w:val="00D73A76"/>
    <w:rsid w:val="00D74E6E"/>
    <w:rsid w:val="00D77439"/>
    <w:rsid w:val="00D80AEA"/>
    <w:rsid w:val="00D80B89"/>
    <w:rsid w:val="00D82F62"/>
    <w:rsid w:val="00D846B7"/>
    <w:rsid w:val="00D87617"/>
    <w:rsid w:val="00D91C8A"/>
    <w:rsid w:val="00D936F6"/>
    <w:rsid w:val="00D953F2"/>
    <w:rsid w:val="00D954AC"/>
    <w:rsid w:val="00D956CC"/>
    <w:rsid w:val="00D96654"/>
    <w:rsid w:val="00D96735"/>
    <w:rsid w:val="00D96802"/>
    <w:rsid w:val="00D96EAD"/>
    <w:rsid w:val="00D96FDC"/>
    <w:rsid w:val="00DA014C"/>
    <w:rsid w:val="00DA07A2"/>
    <w:rsid w:val="00DA0E09"/>
    <w:rsid w:val="00DA0E1F"/>
    <w:rsid w:val="00DA244C"/>
    <w:rsid w:val="00DA2B95"/>
    <w:rsid w:val="00DA7A8F"/>
    <w:rsid w:val="00DB1F9C"/>
    <w:rsid w:val="00DB2077"/>
    <w:rsid w:val="00DB34C4"/>
    <w:rsid w:val="00DB37C7"/>
    <w:rsid w:val="00DB44AB"/>
    <w:rsid w:val="00DB6390"/>
    <w:rsid w:val="00DC09BB"/>
    <w:rsid w:val="00DC334C"/>
    <w:rsid w:val="00DC3F09"/>
    <w:rsid w:val="00DC4291"/>
    <w:rsid w:val="00DC49DC"/>
    <w:rsid w:val="00DC5019"/>
    <w:rsid w:val="00DC53A7"/>
    <w:rsid w:val="00DC64FE"/>
    <w:rsid w:val="00DC6899"/>
    <w:rsid w:val="00DC711C"/>
    <w:rsid w:val="00DD2926"/>
    <w:rsid w:val="00DD3DC9"/>
    <w:rsid w:val="00DD5E4B"/>
    <w:rsid w:val="00DD6334"/>
    <w:rsid w:val="00DD6CB9"/>
    <w:rsid w:val="00DD781D"/>
    <w:rsid w:val="00DE1663"/>
    <w:rsid w:val="00DE4EFC"/>
    <w:rsid w:val="00DE5415"/>
    <w:rsid w:val="00DE70A5"/>
    <w:rsid w:val="00DF01F9"/>
    <w:rsid w:val="00DF0F93"/>
    <w:rsid w:val="00DF17B1"/>
    <w:rsid w:val="00DF2A31"/>
    <w:rsid w:val="00DF3124"/>
    <w:rsid w:val="00DF32C2"/>
    <w:rsid w:val="00DF4468"/>
    <w:rsid w:val="00DF7049"/>
    <w:rsid w:val="00DF76DB"/>
    <w:rsid w:val="00DF7BCA"/>
    <w:rsid w:val="00E00C11"/>
    <w:rsid w:val="00E00C32"/>
    <w:rsid w:val="00E04BA6"/>
    <w:rsid w:val="00E04C55"/>
    <w:rsid w:val="00E05F6D"/>
    <w:rsid w:val="00E05F99"/>
    <w:rsid w:val="00E11A44"/>
    <w:rsid w:val="00E1271B"/>
    <w:rsid w:val="00E14CC0"/>
    <w:rsid w:val="00E14F1B"/>
    <w:rsid w:val="00E15687"/>
    <w:rsid w:val="00E179EB"/>
    <w:rsid w:val="00E20C07"/>
    <w:rsid w:val="00E235D0"/>
    <w:rsid w:val="00E23E26"/>
    <w:rsid w:val="00E25D60"/>
    <w:rsid w:val="00E25F60"/>
    <w:rsid w:val="00E2721D"/>
    <w:rsid w:val="00E30467"/>
    <w:rsid w:val="00E305B8"/>
    <w:rsid w:val="00E316DC"/>
    <w:rsid w:val="00E3442B"/>
    <w:rsid w:val="00E34FFB"/>
    <w:rsid w:val="00E377AE"/>
    <w:rsid w:val="00E377C6"/>
    <w:rsid w:val="00E414D4"/>
    <w:rsid w:val="00E418A6"/>
    <w:rsid w:val="00E41AD6"/>
    <w:rsid w:val="00E420DA"/>
    <w:rsid w:val="00E424B6"/>
    <w:rsid w:val="00E4389A"/>
    <w:rsid w:val="00E4459B"/>
    <w:rsid w:val="00E458E1"/>
    <w:rsid w:val="00E47BC8"/>
    <w:rsid w:val="00E50916"/>
    <w:rsid w:val="00E54CC1"/>
    <w:rsid w:val="00E568EC"/>
    <w:rsid w:val="00E5795D"/>
    <w:rsid w:val="00E61021"/>
    <w:rsid w:val="00E630B2"/>
    <w:rsid w:val="00E63A22"/>
    <w:rsid w:val="00E64F16"/>
    <w:rsid w:val="00E65E33"/>
    <w:rsid w:val="00E65E48"/>
    <w:rsid w:val="00E672E6"/>
    <w:rsid w:val="00E67F9E"/>
    <w:rsid w:val="00E74F0E"/>
    <w:rsid w:val="00E76040"/>
    <w:rsid w:val="00E7675F"/>
    <w:rsid w:val="00E81068"/>
    <w:rsid w:val="00E81505"/>
    <w:rsid w:val="00E81959"/>
    <w:rsid w:val="00E821EF"/>
    <w:rsid w:val="00E8240F"/>
    <w:rsid w:val="00E828E2"/>
    <w:rsid w:val="00E8511A"/>
    <w:rsid w:val="00E85359"/>
    <w:rsid w:val="00E90A7C"/>
    <w:rsid w:val="00E90F01"/>
    <w:rsid w:val="00E91E4B"/>
    <w:rsid w:val="00E9270B"/>
    <w:rsid w:val="00E94E2C"/>
    <w:rsid w:val="00E9591D"/>
    <w:rsid w:val="00E964B0"/>
    <w:rsid w:val="00E9659A"/>
    <w:rsid w:val="00E96C6D"/>
    <w:rsid w:val="00E96C8C"/>
    <w:rsid w:val="00EA0A1D"/>
    <w:rsid w:val="00EA47BB"/>
    <w:rsid w:val="00EA5340"/>
    <w:rsid w:val="00EA55D0"/>
    <w:rsid w:val="00EA6430"/>
    <w:rsid w:val="00EA73FB"/>
    <w:rsid w:val="00EA794A"/>
    <w:rsid w:val="00EA7BC2"/>
    <w:rsid w:val="00EB0145"/>
    <w:rsid w:val="00EB46F6"/>
    <w:rsid w:val="00EB4D62"/>
    <w:rsid w:val="00EB5E43"/>
    <w:rsid w:val="00EB7285"/>
    <w:rsid w:val="00EC00C8"/>
    <w:rsid w:val="00EC15F7"/>
    <w:rsid w:val="00EC2CFD"/>
    <w:rsid w:val="00EC4226"/>
    <w:rsid w:val="00EC509E"/>
    <w:rsid w:val="00EC5D13"/>
    <w:rsid w:val="00ED08D4"/>
    <w:rsid w:val="00ED2ED1"/>
    <w:rsid w:val="00ED33F7"/>
    <w:rsid w:val="00ED6143"/>
    <w:rsid w:val="00ED7015"/>
    <w:rsid w:val="00EE5210"/>
    <w:rsid w:val="00EE6CF9"/>
    <w:rsid w:val="00EE7836"/>
    <w:rsid w:val="00EE7B76"/>
    <w:rsid w:val="00EF133E"/>
    <w:rsid w:val="00EF2395"/>
    <w:rsid w:val="00EF317F"/>
    <w:rsid w:val="00EF44F8"/>
    <w:rsid w:val="00EF7853"/>
    <w:rsid w:val="00F00957"/>
    <w:rsid w:val="00F00C0A"/>
    <w:rsid w:val="00F01910"/>
    <w:rsid w:val="00F020D4"/>
    <w:rsid w:val="00F02B0A"/>
    <w:rsid w:val="00F02D46"/>
    <w:rsid w:val="00F06222"/>
    <w:rsid w:val="00F07DE8"/>
    <w:rsid w:val="00F1173F"/>
    <w:rsid w:val="00F12511"/>
    <w:rsid w:val="00F12B4E"/>
    <w:rsid w:val="00F12B65"/>
    <w:rsid w:val="00F13FDF"/>
    <w:rsid w:val="00F1449D"/>
    <w:rsid w:val="00F148DF"/>
    <w:rsid w:val="00F2632A"/>
    <w:rsid w:val="00F265D3"/>
    <w:rsid w:val="00F3164B"/>
    <w:rsid w:val="00F3275E"/>
    <w:rsid w:val="00F34A59"/>
    <w:rsid w:val="00F34D14"/>
    <w:rsid w:val="00F3522C"/>
    <w:rsid w:val="00F35AA9"/>
    <w:rsid w:val="00F36040"/>
    <w:rsid w:val="00F37476"/>
    <w:rsid w:val="00F41189"/>
    <w:rsid w:val="00F421F2"/>
    <w:rsid w:val="00F42402"/>
    <w:rsid w:val="00F425A5"/>
    <w:rsid w:val="00F42903"/>
    <w:rsid w:val="00F42D35"/>
    <w:rsid w:val="00F449F4"/>
    <w:rsid w:val="00F44A6F"/>
    <w:rsid w:val="00F44DDB"/>
    <w:rsid w:val="00F45D10"/>
    <w:rsid w:val="00F467AA"/>
    <w:rsid w:val="00F46994"/>
    <w:rsid w:val="00F524D7"/>
    <w:rsid w:val="00F53F22"/>
    <w:rsid w:val="00F5497F"/>
    <w:rsid w:val="00F5521E"/>
    <w:rsid w:val="00F5696D"/>
    <w:rsid w:val="00F6060A"/>
    <w:rsid w:val="00F61C00"/>
    <w:rsid w:val="00F62E27"/>
    <w:rsid w:val="00F637E4"/>
    <w:rsid w:val="00F64AA2"/>
    <w:rsid w:val="00F6528C"/>
    <w:rsid w:val="00F67610"/>
    <w:rsid w:val="00F6777E"/>
    <w:rsid w:val="00F67E5B"/>
    <w:rsid w:val="00F70239"/>
    <w:rsid w:val="00F71090"/>
    <w:rsid w:val="00F72613"/>
    <w:rsid w:val="00F72F63"/>
    <w:rsid w:val="00F73B55"/>
    <w:rsid w:val="00F740C3"/>
    <w:rsid w:val="00F74A01"/>
    <w:rsid w:val="00F75273"/>
    <w:rsid w:val="00F76874"/>
    <w:rsid w:val="00F77A35"/>
    <w:rsid w:val="00F80BAD"/>
    <w:rsid w:val="00F8211E"/>
    <w:rsid w:val="00F82847"/>
    <w:rsid w:val="00F82EC6"/>
    <w:rsid w:val="00F82F5A"/>
    <w:rsid w:val="00F8349B"/>
    <w:rsid w:val="00F858BB"/>
    <w:rsid w:val="00F85CD6"/>
    <w:rsid w:val="00F91A22"/>
    <w:rsid w:val="00F91D76"/>
    <w:rsid w:val="00F94794"/>
    <w:rsid w:val="00F973FC"/>
    <w:rsid w:val="00F9786E"/>
    <w:rsid w:val="00FA247F"/>
    <w:rsid w:val="00FA2642"/>
    <w:rsid w:val="00FA2B31"/>
    <w:rsid w:val="00FA2C93"/>
    <w:rsid w:val="00FA61B1"/>
    <w:rsid w:val="00FB0286"/>
    <w:rsid w:val="00FB0B16"/>
    <w:rsid w:val="00FB522A"/>
    <w:rsid w:val="00FB6EF7"/>
    <w:rsid w:val="00FB7B70"/>
    <w:rsid w:val="00FC004B"/>
    <w:rsid w:val="00FC0B1F"/>
    <w:rsid w:val="00FC2C85"/>
    <w:rsid w:val="00FC35D6"/>
    <w:rsid w:val="00FC4159"/>
    <w:rsid w:val="00FC5087"/>
    <w:rsid w:val="00FC5099"/>
    <w:rsid w:val="00FC553B"/>
    <w:rsid w:val="00FC6415"/>
    <w:rsid w:val="00FC6A57"/>
    <w:rsid w:val="00FC7B1B"/>
    <w:rsid w:val="00FD00B8"/>
    <w:rsid w:val="00FD1368"/>
    <w:rsid w:val="00FD14C6"/>
    <w:rsid w:val="00FD15F3"/>
    <w:rsid w:val="00FD1CF3"/>
    <w:rsid w:val="00FD2FE5"/>
    <w:rsid w:val="00FD3307"/>
    <w:rsid w:val="00FD3AD9"/>
    <w:rsid w:val="00FD628E"/>
    <w:rsid w:val="00FD6FFF"/>
    <w:rsid w:val="00FD7064"/>
    <w:rsid w:val="00FE0FD9"/>
    <w:rsid w:val="00FE2419"/>
    <w:rsid w:val="00FE2902"/>
    <w:rsid w:val="00FE391E"/>
    <w:rsid w:val="00FE5B79"/>
    <w:rsid w:val="00FE5E1A"/>
    <w:rsid w:val="00FE68B8"/>
    <w:rsid w:val="00FE6B18"/>
    <w:rsid w:val="00FE6CF0"/>
    <w:rsid w:val="00FF077D"/>
    <w:rsid w:val="00FF0DC2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A5EA00E"/>
  <w15:docId w15:val="{1544C5AD-C656-4842-B980-14921E23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063CA"/>
    <w:rPr>
      <w:rFonts w:ascii="Arial" w:hAnsi="Arial"/>
    </w:rPr>
  </w:style>
  <w:style w:type="paragraph" w:styleId="Nadpis1">
    <w:name w:val="heading 1"/>
    <w:basedOn w:val="Nadpis5"/>
    <w:next w:val="Normlny"/>
    <w:link w:val="Nadpis1Char"/>
    <w:uiPriority w:val="99"/>
    <w:qFormat/>
    <w:rsid w:val="00EA73FB"/>
    <w:pPr>
      <w:numPr>
        <w:numId w:val="9"/>
      </w:numPr>
      <w:outlineLvl w:val="0"/>
    </w:pPr>
  </w:style>
  <w:style w:type="paragraph" w:styleId="Nadpis2">
    <w:name w:val="heading 2"/>
    <w:basedOn w:val="Normlny"/>
    <w:next w:val="Normlny"/>
    <w:uiPriority w:val="99"/>
    <w:qFormat/>
    <w:rsid w:val="004647AD"/>
    <w:pPr>
      <w:keepNext/>
      <w:spacing w:before="240" w:line="220" w:lineRule="atLeast"/>
      <w:ind w:right="-51"/>
      <w:jc w:val="both"/>
      <w:outlineLvl w:val="1"/>
    </w:pPr>
    <w:rPr>
      <w:b/>
      <w:sz w:val="24"/>
      <w:u w:val="single"/>
    </w:rPr>
  </w:style>
  <w:style w:type="paragraph" w:styleId="Nadpis3">
    <w:name w:val="heading 3"/>
    <w:basedOn w:val="Normlny"/>
    <w:next w:val="Normlny"/>
    <w:uiPriority w:val="99"/>
    <w:qFormat/>
    <w:rsid w:val="004647AD"/>
    <w:pPr>
      <w:keepNext/>
      <w:tabs>
        <w:tab w:val="left" w:pos="2268"/>
      </w:tabs>
      <w:spacing w:line="220" w:lineRule="atLeast"/>
      <w:ind w:right="-51"/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uiPriority w:val="99"/>
    <w:qFormat/>
    <w:rsid w:val="004647AD"/>
    <w:pPr>
      <w:keepNext/>
      <w:tabs>
        <w:tab w:val="left" w:pos="1701"/>
      </w:tabs>
      <w:spacing w:line="240" w:lineRule="atLeast"/>
      <w:ind w:right="-51"/>
      <w:outlineLvl w:val="3"/>
    </w:pPr>
    <w:rPr>
      <w:b/>
      <w:sz w:val="22"/>
    </w:rPr>
  </w:style>
  <w:style w:type="paragraph" w:styleId="Nadpis5">
    <w:name w:val="heading 5"/>
    <w:basedOn w:val="Normlny"/>
    <w:next w:val="Normlny"/>
    <w:autoRedefine/>
    <w:uiPriority w:val="99"/>
    <w:qFormat/>
    <w:rsid w:val="00626020"/>
    <w:pPr>
      <w:keepNext/>
      <w:numPr>
        <w:numId w:val="4"/>
      </w:numPr>
      <w:tabs>
        <w:tab w:val="left" w:pos="567"/>
        <w:tab w:val="left" w:pos="851"/>
      </w:tabs>
      <w:spacing w:before="120" w:after="120"/>
      <w:ind w:right="567"/>
      <w:jc w:val="both"/>
      <w:outlineLvl w:val="4"/>
    </w:pPr>
    <w:rPr>
      <w:b/>
      <w:sz w:val="22"/>
    </w:rPr>
  </w:style>
  <w:style w:type="paragraph" w:styleId="Nadpis6">
    <w:name w:val="heading 6"/>
    <w:basedOn w:val="Normlny"/>
    <w:next w:val="Normlny"/>
    <w:link w:val="Nadpis6Char"/>
    <w:uiPriority w:val="99"/>
    <w:qFormat/>
    <w:rsid w:val="00EA73FB"/>
    <w:pPr>
      <w:keepNext/>
      <w:tabs>
        <w:tab w:val="num" w:pos="0"/>
      </w:tabs>
      <w:suppressAutoHyphens/>
      <w:jc w:val="both"/>
      <w:outlineLvl w:val="5"/>
    </w:pPr>
    <w:rPr>
      <w:rFonts w:cs="FuturTEE"/>
      <w:sz w:val="22"/>
      <w:szCs w:val="24"/>
      <w:lang w:eastAsia="ar-SA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87519"/>
    <w:pPr>
      <w:keepNext/>
      <w:tabs>
        <w:tab w:val="num" w:pos="0"/>
      </w:tabs>
      <w:suppressAutoHyphens/>
      <w:jc w:val="center"/>
      <w:outlineLvl w:val="6"/>
    </w:pPr>
    <w:rPr>
      <w:rFonts w:cs="Arial"/>
      <w:i/>
      <w:caps/>
      <w:sz w:val="16"/>
      <w:lang w:eastAsia="ar-SA"/>
    </w:rPr>
  </w:style>
  <w:style w:type="paragraph" w:styleId="Nadpis8">
    <w:name w:val="heading 8"/>
    <w:basedOn w:val="Normlny"/>
    <w:next w:val="Normlny"/>
    <w:uiPriority w:val="99"/>
    <w:qFormat/>
    <w:rsid w:val="004647AD"/>
    <w:pPr>
      <w:keepNext/>
      <w:spacing w:before="120" w:line="240" w:lineRule="atLeast"/>
      <w:ind w:right="-51"/>
      <w:jc w:val="both"/>
      <w:outlineLvl w:val="7"/>
    </w:pPr>
    <w:rPr>
      <w:snapToGrid w:val="0"/>
      <w:sz w:val="22"/>
      <w:u w:val="single"/>
    </w:rPr>
  </w:style>
  <w:style w:type="paragraph" w:styleId="Nadpis9">
    <w:name w:val="heading 9"/>
    <w:basedOn w:val="Normlny"/>
    <w:next w:val="Normlny"/>
    <w:link w:val="Nadpis9Char"/>
    <w:uiPriority w:val="99"/>
    <w:qFormat/>
    <w:rsid w:val="00987519"/>
    <w:pPr>
      <w:keepNext/>
      <w:tabs>
        <w:tab w:val="num" w:pos="0"/>
      </w:tabs>
      <w:suppressAutoHyphens/>
      <w:jc w:val="both"/>
      <w:outlineLvl w:val="8"/>
    </w:pPr>
    <w:rPr>
      <w:rFonts w:ascii="FuturTEE" w:hAnsi="FuturTEE" w:cs="FuturTEE"/>
      <w:bCs/>
      <w:i/>
      <w:iCs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rsid w:val="004647AD"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rsid w:val="004647AD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  <w:rsid w:val="004647AD"/>
  </w:style>
  <w:style w:type="paragraph" w:styleId="Zkladntext">
    <w:name w:val="Body Text"/>
    <w:basedOn w:val="Normlny"/>
    <w:semiHidden/>
    <w:rsid w:val="004647AD"/>
    <w:pPr>
      <w:tabs>
        <w:tab w:val="left" w:pos="6521"/>
      </w:tabs>
      <w:spacing w:before="120" w:line="220" w:lineRule="atLeast"/>
      <w:jc w:val="both"/>
    </w:pPr>
    <w:rPr>
      <w:sz w:val="24"/>
    </w:rPr>
  </w:style>
  <w:style w:type="paragraph" w:styleId="Zkladntext2">
    <w:name w:val="Body Text 2"/>
    <w:basedOn w:val="Normlny"/>
    <w:link w:val="Zkladntext2Char"/>
    <w:semiHidden/>
    <w:rsid w:val="004647AD"/>
    <w:pPr>
      <w:widowControl w:val="0"/>
      <w:tabs>
        <w:tab w:val="left" w:pos="8108"/>
      </w:tabs>
      <w:ind w:right="916"/>
      <w:jc w:val="both"/>
    </w:pPr>
    <w:rPr>
      <w:snapToGrid w:val="0"/>
      <w:sz w:val="22"/>
      <w:lang w:eastAsia="cs-CZ"/>
    </w:rPr>
  </w:style>
  <w:style w:type="paragraph" w:styleId="Zkladntext3">
    <w:name w:val="Body Text 3"/>
    <w:basedOn w:val="Normlny"/>
    <w:link w:val="Zkladntext3Char"/>
    <w:semiHidden/>
    <w:rsid w:val="004647AD"/>
    <w:pPr>
      <w:widowControl w:val="0"/>
      <w:tabs>
        <w:tab w:val="left" w:pos="8108"/>
      </w:tabs>
      <w:spacing w:before="120" w:line="240" w:lineRule="atLeast"/>
      <w:ind w:right="-51"/>
      <w:jc w:val="both"/>
    </w:pPr>
    <w:rPr>
      <w:snapToGrid w:val="0"/>
      <w:sz w:val="22"/>
      <w:lang w:eastAsia="cs-CZ"/>
    </w:rPr>
  </w:style>
  <w:style w:type="paragraph" w:styleId="Nzov">
    <w:name w:val="Title"/>
    <w:basedOn w:val="Normlny"/>
    <w:qFormat/>
    <w:rsid w:val="004647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20" w:lineRule="atLeast"/>
      <w:ind w:right="-51"/>
      <w:jc w:val="center"/>
    </w:pPr>
    <w:rPr>
      <w:b/>
      <w:sz w:val="32"/>
    </w:rPr>
  </w:style>
  <w:style w:type="paragraph" w:styleId="Podtitul">
    <w:name w:val="Subtitle"/>
    <w:basedOn w:val="Normlny"/>
    <w:qFormat/>
    <w:rsid w:val="004647A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line="220" w:lineRule="atLeast"/>
      <w:ind w:right="-51"/>
      <w:jc w:val="center"/>
    </w:pPr>
    <w:rPr>
      <w:b/>
      <w:sz w:val="32"/>
    </w:rPr>
  </w:style>
  <w:style w:type="paragraph" w:styleId="Zoznamsodrkami3">
    <w:name w:val="List Bullet 3"/>
    <w:basedOn w:val="Normlny"/>
    <w:autoRedefine/>
    <w:semiHidden/>
    <w:rsid w:val="004647AD"/>
    <w:pPr>
      <w:numPr>
        <w:numId w:val="1"/>
      </w:numPr>
      <w:tabs>
        <w:tab w:val="clear" w:pos="360"/>
        <w:tab w:val="left" w:pos="284"/>
      </w:tabs>
      <w:spacing w:line="240" w:lineRule="atLeast"/>
      <w:ind w:left="0" w:right="-51" w:firstLine="0"/>
      <w:jc w:val="both"/>
    </w:pPr>
    <w:rPr>
      <w:color w:val="000000"/>
      <w:sz w:val="22"/>
      <w:lang w:val="en-US"/>
    </w:rPr>
  </w:style>
  <w:style w:type="paragraph" w:styleId="Zarkazkladnhotextu">
    <w:name w:val="Body Text Indent"/>
    <w:basedOn w:val="Normlny"/>
    <w:semiHidden/>
    <w:rsid w:val="004647AD"/>
    <w:pPr>
      <w:tabs>
        <w:tab w:val="left" w:pos="567"/>
      </w:tabs>
      <w:spacing w:before="120" w:line="240" w:lineRule="atLeast"/>
      <w:ind w:left="567" w:hanging="567"/>
      <w:jc w:val="both"/>
    </w:pPr>
    <w:rPr>
      <w:sz w:val="22"/>
    </w:rPr>
  </w:style>
  <w:style w:type="paragraph" w:customStyle="1" w:styleId="F2-ZkladnText">
    <w:name w:val="F2-ZákladnýText"/>
    <w:basedOn w:val="Normlny"/>
    <w:rsid w:val="004647AD"/>
    <w:pPr>
      <w:jc w:val="both"/>
    </w:pPr>
    <w:rPr>
      <w:sz w:val="24"/>
    </w:rPr>
  </w:style>
  <w:style w:type="paragraph" w:customStyle="1" w:styleId="Podnadpis">
    <w:name w:val="Podnadpis"/>
    <w:basedOn w:val="Normlny"/>
    <w:rsid w:val="004647AD"/>
    <w:rPr>
      <w:rFonts w:ascii="Arial Narrow" w:hAnsi="Arial Narrow"/>
      <w:b/>
      <w:sz w:val="22"/>
    </w:rPr>
  </w:style>
  <w:style w:type="paragraph" w:customStyle="1" w:styleId="BodyText22">
    <w:name w:val="Body Text 22"/>
    <w:basedOn w:val="Normlny"/>
    <w:rsid w:val="004647AD"/>
    <w:pPr>
      <w:widowControl w:val="0"/>
      <w:spacing w:line="-240" w:lineRule="auto"/>
      <w:jc w:val="both"/>
    </w:pPr>
    <w:rPr>
      <w:lang w:val="cs-CZ"/>
    </w:rPr>
  </w:style>
  <w:style w:type="paragraph" w:customStyle="1" w:styleId="Zakladnytext">
    <w:name w:val="Zakladny text"/>
    <w:basedOn w:val="Normlny"/>
    <w:rsid w:val="004647AD"/>
    <w:rPr>
      <w:rFonts w:ascii="Arial Narrow" w:hAnsi="Arial Narrow"/>
      <w:sz w:val="22"/>
    </w:rPr>
  </w:style>
  <w:style w:type="paragraph" w:customStyle="1" w:styleId="Styl1">
    <w:name w:val="Styl1"/>
    <w:basedOn w:val="Normlny"/>
    <w:rsid w:val="004647AD"/>
    <w:pPr>
      <w:spacing w:line="360" w:lineRule="atLeast"/>
      <w:jc w:val="both"/>
    </w:pPr>
    <w:rPr>
      <w:sz w:val="22"/>
    </w:rPr>
  </w:style>
  <w:style w:type="paragraph" w:customStyle="1" w:styleId="Zkladntext21">
    <w:name w:val="Základný text 21"/>
    <w:basedOn w:val="Normlny"/>
    <w:rsid w:val="004647AD"/>
    <w:pPr>
      <w:tabs>
        <w:tab w:val="left" w:pos="5954"/>
      </w:tabs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Oznaitext">
    <w:name w:val="Block Text"/>
    <w:basedOn w:val="Normlny"/>
    <w:semiHidden/>
    <w:rsid w:val="004647AD"/>
    <w:pPr>
      <w:tabs>
        <w:tab w:val="left" w:pos="2268"/>
      </w:tabs>
      <w:spacing w:line="240" w:lineRule="atLeast"/>
      <w:ind w:left="2268" w:right="-51" w:hanging="2268"/>
      <w:jc w:val="both"/>
    </w:pPr>
    <w:rPr>
      <w:color w:val="FF0000"/>
      <w:sz w:val="22"/>
    </w:rPr>
  </w:style>
  <w:style w:type="table" w:styleId="Mriekatabuky">
    <w:name w:val="Table Grid"/>
    <w:basedOn w:val="Normlnatabuka"/>
    <w:uiPriority w:val="59"/>
    <w:rsid w:val="00AD4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link w:val="Nadpis1"/>
    <w:uiPriority w:val="99"/>
    <w:rsid w:val="00EA73FB"/>
    <w:rPr>
      <w:rFonts w:ascii="Arial" w:hAnsi="Arial"/>
      <w:b/>
      <w:sz w:val="22"/>
    </w:rPr>
  </w:style>
  <w:style w:type="character" w:customStyle="1" w:styleId="Zkladntext2Char">
    <w:name w:val="Základný text 2 Char"/>
    <w:link w:val="Zkladntext2"/>
    <w:semiHidden/>
    <w:rsid w:val="00951DA4"/>
    <w:rPr>
      <w:rFonts w:ascii="Arial" w:hAnsi="Arial"/>
      <w:snapToGrid w:val="0"/>
      <w:sz w:val="22"/>
      <w:lang w:eastAsia="cs-CZ"/>
    </w:rPr>
  </w:style>
  <w:style w:type="character" w:customStyle="1" w:styleId="Zkladntext3Char">
    <w:name w:val="Základný text 3 Char"/>
    <w:link w:val="Zkladntext3"/>
    <w:semiHidden/>
    <w:rsid w:val="006C100C"/>
    <w:rPr>
      <w:rFonts w:ascii="Arial" w:hAnsi="Arial"/>
      <w:snapToGrid w:val="0"/>
      <w:sz w:val="22"/>
      <w:lang w:eastAsia="cs-CZ"/>
    </w:rPr>
  </w:style>
  <w:style w:type="paragraph" w:customStyle="1" w:styleId="Odst12">
    <w:name w:val="Odst.1.2."/>
    <w:basedOn w:val="Normlny"/>
    <w:rsid w:val="0086106E"/>
    <w:pPr>
      <w:tabs>
        <w:tab w:val="left" w:pos="284"/>
        <w:tab w:val="left" w:pos="851"/>
        <w:tab w:val="left" w:pos="1701"/>
        <w:tab w:val="left" w:pos="2835"/>
        <w:tab w:val="left" w:pos="3119"/>
      </w:tabs>
      <w:spacing w:line="240" w:lineRule="atLeast"/>
      <w:ind w:left="851" w:right="-51" w:firstLine="567"/>
      <w:jc w:val="both"/>
    </w:pPr>
    <w:rPr>
      <w:lang w:eastAsia="cs-CZ"/>
    </w:rPr>
  </w:style>
  <w:style w:type="character" w:styleId="Vrazn">
    <w:name w:val="Strong"/>
    <w:uiPriority w:val="22"/>
    <w:qFormat/>
    <w:rsid w:val="002E4783"/>
    <w:rPr>
      <w:b/>
      <w:bCs/>
    </w:rPr>
  </w:style>
  <w:style w:type="paragraph" w:styleId="Odsekzoznamu">
    <w:name w:val="List Paragraph"/>
    <w:basedOn w:val="Normlny"/>
    <w:uiPriority w:val="34"/>
    <w:qFormat/>
    <w:rsid w:val="002E4783"/>
    <w:pPr>
      <w:widowControl w:val="0"/>
      <w:suppressAutoHyphens/>
      <w:autoSpaceDN w:val="0"/>
      <w:ind w:left="720"/>
      <w:contextualSpacing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paragraph" w:customStyle="1" w:styleId="Text">
    <w:name w:val="Text"/>
    <w:basedOn w:val="Normlny"/>
    <w:uiPriority w:val="99"/>
    <w:rsid w:val="00BB3A1C"/>
    <w:pPr>
      <w:autoSpaceDE w:val="0"/>
      <w:autoSpaceDN w:val="0"/>
      <w:adjustRightInd w:val="0"/>
      <w:ind w:firstLine="567"/>
      <w:jc w:val="both"/>
    </w:pPr>
    <w:rPr>
      <w:rFonts w:ascii="Times New Roman" w:hAnsi="Times New Roman"/>
      <w:sz w:val="22"/>
      <w:szCs w:val="22"/>
    </w:rPr>
  </w:style>
  <w:style w:type="character" w:customStyle="1" w:styleId="Nadpis6Char">
    <w:name w:val="Nadpis 6 Char"/>
    <w:link w:val="Nadpis6"/>
    <w:uiPriority w:val="99"/>
    <w:rsid w:val="00EA73FB"/>
    <w:rPr>
      <w:rFonts w:ascii="Arial" w:hAnsi="Arial" w:cs="FuturTEE"/>
      <w:sz w:val="22"/>
      <w:szCs w:val="24"/>
      <w:lang w:eastAsia="ar-SA"/>
    </w:rPr>
  </w:style>
  <w:style w:type="character" w:customStyle="1" w:styleId="Nadpis7Char">
    <w:name w:val="Nadpis 7 Char"/>
    <w:link w:val="Nadpis7"/>
    <w:uiPriority w:val="99"/>
    <w:rsid w:val="00987519"/>
    <w:rPr>
      <w:rFonts w:ascii="Arial" w:hAnsi="Arial" w:cs="Arial"/>
      <w:i/>
      <w:caps/>
      <w:sz w:val="16"/>
      <w:lang w:eastAsia="ar-SA"/>
    </w:rPr>
  </w:style>
  <w:style w:type="character" w:customStyle="1" w:styleId="Nadpis9Char">
    <w:name w:val="Nadpis 9 Char"/>
    <w:link w:val="Nadpis9"/>
    <w:uiPriority w:val="99"/>
    <w:rsid w:val="00987519"/>
    <w:rPr>
      <w:rFonts w:ascii="FuturTEE" w:hAnsi="FuturTEE" w:cs="FuturTEE"/>
      <w:bCs/>
      <w:i/>
      <w:iCs/>
      <w:sz w:val="24"/>
      <w:szCs w:val="24"/>
      <w:lang w:eastAsia="ar-SA"/>
    </w:rPr>
  </w:style>
  <w:style w:type="character" w:customStyle="1" w:styleId="apple-converted-space">
    <w:name w:val="apple-converted-space"/>
    <w:rsid w:val="00FF0DC2"/>
  </w:style>
  <w:style w:type="character" w:styleId="Hypertextovprepojenie">
    <w:name w:val="Hyperlink"/>
    <w:uiPriority w:val="99"/>
    <w:unhideWhenUsed/>
    <w:rsid w:val="00F6060A"/>
    <w:rPr>
      <w:color w:val="0563C1"/>
      <w:u w:val="single"/>
    </w:rPr>
  </w:style>
  <w:style w:type="character" w:customStyle="1" w:styleId="Nevyrieenzmienka1">
    <w:name w:val="Nevyriešená zmienka1"/>
    <w:uiPriority w:val="99"/>
    <w:semiHidden/>
    <w:unhideWhenUsed/>
    <w:rsid w:val="00F6060A"/>
    <w:rPr>
      <w:color w:val="605E5C"/>
      <w:shd w:val="clear" w:color="auto" w:fill="E1DFDD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27C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27C4"/>
    <w:rPr>
      <w:rFonts w:ascii="Segoe UI" w:hAnsi="Segoe UI" w:cs="Segoe UI"/>
      <w:sz w:val="18"/>
      <w:szCs w:val="18"/>
    </w:rPr>
  </w:style>
  <w:style w:type="paragraph" w:styleId="Hlavikaobsahu">
    <w:name w:val="TOC Heading"/>
    <w:basedOn w:val="Nadpis1"/>
    <w:next w:val="Normlny"/>
    <w:uiPriority w:val="39"/>
    <w:unhideWhenUsed/>
    <w:qFormat/>
    <w:rsid w:val="00EE7836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aps/>
      <w:color w:val="2F5496" w:themeColor="accent1" w:themeShade="BF"/>
      <w:sz w:val="32"/>
      <w:szCs w:val="32"/>
    </w:rPr>
  </w:style>
  <w:style w:type="paragraph" w:styleId="Obsah1">
    <w:name w:val="toc 1"/>
    <w:basedOn w:val="Normlny"/>
    <w:next w:val="Normlny"/>
    <w:autoRedefine/>
    <w:uiPriority w:val="39"/>
    <w:unhideWhenUsed/>
    <w:rsid w:val="00EA73FB"/>
    <w:pPr>
      <w:tabs>
        <w:tab w:val="left" w:pos="426"/>
        <w:tab w:val="right" w:leader="dot" w:pos="8825"/>
      </w:tabs>
      <w:spacing w:after="100"/>
      <w:jc w:val="both"/>
    </w:pPr>
  </w:style>
  <w:style w:type="paragraph" w:styleId="Obsah3">
    <w:name w:val="toc 3"/>
    <w:basedOn w:val="Normlny"/>
    <w:next w:val="Normlny"/>
    <w:autoRedefine/>
    <w:uiPriority w:val="39"/>
    <w:unhideWhenUsed/>
    <w:rsid w:val="00EE7836"/>
    <w:pPr>
      <w:spacing w:after="100"/>
      <w:ind w:left="400"/>
    </w:pPr>
  </w:style>
  <w:style w:type="paragraph" w:styleId="Obsah2">
    <w:name w:val="toc 2"/>
    <w:basedOn w:val="Normlny"/>
    <w:next w:val="Normlny"/>
    <w:autoRedefine/>
    <w:uiPriority w:val="39"/>
    <w:unhideWhenUsed/>
    <w:rsid w:val="00285183"/>
    <w:pPr>
      <w:tabs>
        <w:tab w:val="left" w:pos="426"/>
        <w:tab w:val="right" w:leader="dot" w:pos="8825"/>
      </w:tabs>
      <w:spacing w:after="100"/>
    </w:pPr>
  </w:style>
  <w:style w:type="paragraph" w:styleId="Obsah5">
    <w:name w:val="toc 5"/>
    <w:basedOn w:val="Normlny"/>
    <w:next w:val="Normlny"/>
    <w:autoRedefine/>
    <w:uiPriority w:val="39"/>
    <w:unhideWhenUsed/>
    <w:rsid w:val="00EE7836"/>
    <w:pPr>
      <w:spacing w:after="100"/>
      <w:ind w:left="800"/>
    </w:pPr>
  </w:style>
  <w:style w:type="paragraph" w:styleId="Obsah9">
    <w:name w:val="toc 9"/>
    <w:basedOn w:val="Normlny"/>
    <w:next w:val="Normlny"/>
    <w:autoRedefine/>
    <w:uiPriority w:val="39"/>
    <w:unhideWhenUsed/>
    <w:rsid w:val="000315A2"/>
    <w:pPr>
      <w:tabs>
        <w:tab w:val="right" w:leader="dot" w:pos="8825"/>
      </w:tabs>
      <w:spacing w:after="100"/>
      <w:ind w:left="1600"/>
    </w:pPr>
  </w:style>
  <w:style w:type="paragraph" w:styleId="Normlnywebov">
    <w:name w:val="Normal (Web)"/>
    <w:basedOn w:val="Normlny"/>
    <w:uiPriority w:val="99"/>
    <w:semiHidden/>
    <w:unhideWhenUsed/>
    <w:rsid w:val="00AA0F36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Nevyrieenzmienka">
    <w:name w:val="Unresolved Mention"/>
    <w:basedOn w:val="Predvolenpsmoodseku"/>
    <w:uiPriority w:val="99"/>
    <w:semiHidden/>
    <w:unhideWhenUsed/>
    <w:rsid w:val="00C852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1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2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pavand@pavand.sk" TargetMode="External"/><Relationship Id="rId2" Type="http://schemas.openxmlformats.org/officeDocument/2006/relationships/hyperlink" Target="http://www.pavand.sk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D6BBF-86A9-4FAC-8247-61357D0B7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8</Pages>
  <Words>3101</Words>
  <Characters>19403</Characters>
  <Application>Microsoft Office Word</Application>
  <DocSecurity>0</DocSecurity>
  <Lines>161</Lines>
  <Paragraphs>44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PETPRO - Ing. Pavel Pětioký, Znievska 32, 851 06 Bratislava</vt:lpstr>
      <vt:lpstr>PETPRO - Ing. Pavel Pětioký, Znievska 32, 851 06 Bratislava</vt:lpstr>
    </vt:vector>
  </TitlesOfParts>
  <Company>Z</Company>
  <LinksUpToDate>false</LinksUpToDate>
  <CharactersWithSpaces>22460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PETPRO - Ing. Pavel Pětioký, Znievska 32, 851 06 Bratislava</dc:title>
  <dc:subject/>
  <dc:creator>John Smith</dc:creator>
  <cp:keywords/>
  <cp:lastModifiedBy>Lukas Beno</cp:lastModifiedBy>
  <cp:revision>590</cp:revision>
  <cp:lastPrinted>2019-02-13T09:40:00Z</cp:lastPrinted>
  <dcterms:created xsi:type="dcterms:W3CDTF">2019-04-16T12:06:00Z</dcterms:created>
  <dcterms:modified xsi:type="dcterms:W3CDTF">2022-07-24T19:21:00Z</dcterms:modified>
</cp:coreProperties>
</file>